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7F5B" w14:textId="77777777" w:rsidR="008913FA" w:rsidRPr="00862168" w:rsidRDefault="008913FA">
      <w:pPr>
        <w:rPr>
          <w:i/>
          <w:iCs/>
        </w:rPr>
      </w:pPr>
    </w:p>
    <w:p w14:paraId="3E04B328" w14:textId="77777777" w:rsidR="008913FA" w:rsidRDefault="008913FA"/>
    <w:p w14:paraId="5559CAFD" w14:textId="77777777" w:rsidR="008913FA" w:rsidRDefault="008F5F9A">
      <w:pPr>
        <w:spacing w:after="120"/>
        <w:jc w:val="center"/>
      </w:pPr>
      <w:r w:rsidRPr="00531915">
        <w:rPr>
          <w:b/>
          <w:bCs/>
          <w:caps/>
          <w:color w:val="1A5276"/>
          <w:sz w:val="36"/>
          <w:szCs w:val="36"/>
        </w:rPr>
        <w:t>TERMENI</w:t>
      </w:r>
      <w:r>
        <w:rPr>
          <w:b/>
          <w:bCs/>
          <w:caps/>
          <w:color w:val="1A5276"/>
          <w:sz w:val="36"/>
          <w:szCs w:val="36"/>
        </w:rPr>
        <w:t xml:space="preserve"> DE REFERINȚĂ</w:t>
      </w:r>
    </w:p>
    <w:p w14:paraId="70CD345C" w14:textId="77777777" w:rsidR="008913FA" w:rsidRDefault="008F5F9A">
      <w:pPr>
        <w:spacing w:after="80"/>
        <w:jc w:val="center"/>
      </w:pPr>
      <w:r>
        <w:rPr>
          <w:b/>
          <w:bCs/>
          <w:color w:val="1A5276"/>
          <w:sz w:val="28"/>
          <w:szCs w:val="28"/>
        </w:rPr>
        <w:t>PROGRAM DE SUBGRANTURI PENTRU SOCIETATEA CIVILĂ ȘI ORGANIZAȚIILE MEDIA</w:t>
      </w:r>
    </w:p>
    <w:p w14:paraId="0B5E8F35" w14:textId="77777777" w:rsidR="008913FA" w:rsidRPr="00FE57DC" w:rsidRDefault="008F5F9A">
      <w:pPr>
        <w:spacing w:after="120"/>
        <w:jc w:val="center"/>
        <w:rPr>
          <w:b/>
          <w:bCs/>
        </w:rPr>
      </w:pPr>
      <w:r w:rsidRPr="00FE57DC">
        <w:rPr>
          <w:b/>
          <w:bCs/>
          <w:i/>
          <w:iCs/>
          <w:color w:val="555555"/>
          <w:sz w:val="24"/>
          <w:szCs w:val="24"/>
        </w:rPr>
        <w:t xml:space="preserve">din raioanele Drochia, Dondușeni și </w:t>
      </w:r>
      <w:proofErr w:type="spellStart"/>
      <w:r w:rsidRPr="00FE57DC">
        <w:rPr>
          <w:b/>
          <w:bCs/>
          <w:i/>
          <w:iCs/>
          <w:color w:val="555555"/>
          <w:sz w:val="24"/>
          <w:szCs w:val="24"/>
        </w:rPr>
        <w:t>Rîșcani</w:t>
      </w:r>
      <w:proofErr w:type="spellEnd"/>
    </w:p>
    <w:p w14:paraId="45A89961" w14:textId="77777777" w:rsidR="008913FA" w:rsidRDefault="008F5F9A">
      <w:pPr>
        <w:spacing w:before="80" w:after="80"/>
        <w:jc w:val="center"/>
      </w:pPr>
      <w:r>
        <w:rPr>
          <w:b/>
          <w:bCs/>
          <w:color w:val="7B241C"/>
          <w:sz w:val="32"/>
          <w:szCs w:val="32"/>
        </w:rPr>
        <w:t>„ÎMPREUNĂ ÎMPOTRIVA VIOLENȚEI”</w:t>
      </w:r>
    </w:p>
    <w:p w14:paraId="7010EFC2" w14:textId="77777777" w:rsidR="008913FA" w:rsidRDefault="008F5F9A">
      <w:pPr>
        <w:spacing w:after="200"/>
        <w:jc w:val="center"/>
      </w:pPr>
      <w:r>
        <w:rPr>
          <w:i/>
          <w:iCs/>
          <w:color w:val="555555"/>
        </w:rPr>
        <w:t>Subgranturi pentru prevenirea și combaterea violenței în familie și a violenței bazate pe gen</w:t>
      </w:r>
    </w:p>
    <w:p w14:paraId="54CAD74B" w14:textId="77777777" w:rsidR="008913FA" w:rsidRDefault="008913FA"/>
    <w:p w14:paraId="04B22ECB" w14:textId="77777777" w:rsidR="008913FA" w:rsidRDefault="008F5F9A">
      <w:pPr>
        <w:spacing w:after="60"/>
        <w:jc w:val="center"/>
      </w:pPr>
      <w:r>
        <w:rPr>
          <w:color w:val="555555"/>
        </w:rPr>
        <w:t>Ediția 2026</w:t>
      </w:r>
    </w:p>
    <w:p w14:paraId="42B9CD5B" w14:textId="77777777" w:rsidR="008913FA" w:rsidRDefault="008F5F9A">
      <w:pPr>
        <w:spacing w:after="60"/>
        <w:jc w:val="center"/>
      </w:pPr>
      <w:r>
        <w:rPr>
          <w:i/>
          <w:iCs/>
          <w:color w:val="1A5276"/>
        </w:rPr>
        <w:t>Cu suportul financiar al Suediei</w:t>
      </w:r>
    </w:p>
    <w:p w14:paraId="6211086C" w14:textId="602DA784" w:rsidR="008913FA" w:rsidRDefault="008F5F9A" w:rsidP="00FE57DC">
      <w:pPr>
        <w:spacing w:after="60"/>
        <w:jc w:val="center"/>
      </w:pPr>
      <w:r>
        <w:rPr>
          <w:i/>
          <w:iCs/>
          <w:color w:val="1A5276"/>
        </w:rPr>
        <w:t>Implementat de Asociația Obștească Artemida</w:t>
      </w:r>
    </w:p>
    <w:p w14:paraId="427CFB7D" w14:textId="77777777" w:rsidR="008913FA" w:rsidRDefault="008F5F9A">
      <w:pPr>
        <w:pStyle w:val="Titlu1"/>
      </w:pPr>
      <w:r>
        <w:t>1. Context</w:t>
      </w:r>
    </w:p>
    <w:p w14:paraId="4FC8C599" w14:textId="77777777" w:rsidR="008913FA" w:rsidRDefault="008F5F9A">
      <w:pPr>
        <w:pStyle w:val="Titlu2"/>
      </w:pPr>
      <w:r>
        <w:t>1.1 Contextul național: violența în familie și violența bazată pe gen</w:t>
      </w:r>
    </w:p>
    <w:p w14:paraId="64515A98" w14:textId="77777777" w:rsidR="008913FA" w:rsidRDefault="008F5F9A">
      <w:pPr>
        <w:spacing w:after="140"/>
        <w:jc w:val="both"/>
      </w:pPr>
      <w:r>
        <w:t>Violența în familie (</w:t>
      </w:r>
      <w:proofErr w:type="spellStart"/>
      <w:r>
        <w:t>VF</w:t>
      </w:r>
      <w:proofErr w:type="spellEnd"/>
      <w:r>
        <w:t>) și violența bazată pe gen (</w:t>
      </w:r>
      <w:proofErr w:type="spellStart"/>
      <w:r>
        <w:t>VBG</w:t>
      </w:r>
      <w:proofErr w:type="spellEnd"/>
      <w:r>
        <w:t>) reprezintă fenomene grave, cu impact profund asupra siguranței, sănătății și demnității persoanelor, în special ale femeilor și fetelor. Republica Moldova continuă să se confrunte cu rate ridicate ale acestor forme de violență, inclusiv în mediul rural, unde accesul la servicii specializate rămâne limitat.</w:t>
      </w:r>
    </w:p>
    <w:p w14:paraId="200D5528" w14:textId="54C6F4E7" w:rsidR="008913FA" w:rsidRDefault="008F5F9A">
      <w:pPr>
        <w:spacing w:after="140"/>
        <w:jc w:val="both"/>
      </w:pPr>
      <w:r>
        <w:t xml:space="preserve">Raioanele Drochia, Dondușeni și </w:t>
      </w:r>
      <w:proofErr w:type="spellStart"/>
      <w:r>
        <w:t>Rîșcani</w:t>
      </w:r>
      <w:proofErr w:type="spellEnd"/>
      <w:r>
        <w:t xml:space="preserve">, situate în zona de nord a Republicii Moldova, înregistrează o prezență activă a societății civile și a organizațiilor media locale, dar cu capacități instituționale </w:t>
      </w:r>
      <w:r w:rsidR="00FE57DC" w:rsidRPr="00FE57DC">
        <w:t>aflate încă în proces de dezvoltare și consolidare</w:t>
      </w:r>
      <w:r>
        <w:t xml:space="preserve">. </w:t>
      </w:r>
      <w:r w:rsidR="00FE57DC">
        <w:t xml:space="preserve">Societatea civile </w:t>
      </w:r>
      <w:r>
        <w:t xml:space="preserve">și instituțiile media din aceste raioane joacă un rol esențial în prevenirea violenței, acordarea asistenței victimelor, sensibilizarea comunităților și </w:t>
      </w:r>
      <w:proofErr w:type="spellStart"/>
      <w:r>
        <w:t>advocacy</w:t>
      </w:r>
      <w:proofErr w:type="spellEnd"/>
      <w:r>
        <w:t xml:space="preserve"> pentru schimbări de politici.</w:t>
      </w:r>
    </w:p>
    <w:p w14:paraId="3A88B480" w14:textId="77777777" w:rsidR="008913FA" w:rsidRDefault="008F5F9A">
      <w:pPr>
        <w:pStyle w:val="Titlu2"/>
      </w:pPr>
      <w:r>
        <w:t>1.2 Contextul european: societatea civilă ca pilon al integrării</w:t>
      </w:r>
    </w:p>
    <w:p w14:paraId="29816B97" w14:textId="77777777" w:rsidR="008913FA" w:rsidRDefault="008F5F9A">
      <w:pPr>
        <w:spacing w:after="140"/>
        <w:jc w:val="both"/>
      </w:pPr>
      <w:r>
        <w:t>La 23 iunie 2022, Republica Moldova a obținut statutul de țară candidată la Uniunea Europeană — un moment istoric care marchează nu doar o schimbare de direcție politică, ci și un angajament profund față de valorile democratice, statul de drept, drepturile omului și egalitatea de gen. Procesul de aderare la UE impune reforme structurale în toate domeniile vieții publice, inclusiv în cel al protecției victimelor violenței și al combaterii discriminării bazate pe gen.</w:t>
      </w:r>
    </w:p>
    <w:p w14:paraId="65095892" w14:textId="77777777" w:rsidR="008913FA" w:rsidRDefault="008F5F9A">
      <w:pPr>
        <w:spacing w:after="140"/>
        <w:jc w:val="both"/>
      </w:pPr>
      <w:r>
        <w:t>Standardele europene, reflectate în acquis-</w:t>
      </w:r>
      <w:proofErr w:type="spellStart"/>
      <w:r>
        <w:t>ul</w:t>
      </w:r>
      <w:proofErr w:type="spellEnd"/>
      <w:r>
        <w:t xml:space="preserve"> comunitar și în instrumente precum Convenția de la Istanbul (ratificată de Republica Moldova), plasează combaterea </w:t>
      </w:r>
      <w:proofErr w:type="spellStart"/>
      <w:r>
        <w:t>VF</w:t>
      </w:r>
      <w:proofErr w:type="spellEnd"/>
      <w:r>
        <w:t>/</w:t>
      </w:r>
      <w:proofErr w:type="spellStart"/>
      <w:r>
        <w:t>VBG</w:t>
      </w:r>
      <w:proofErr w:type="spellEnd"/>
      <w:r>
        <w:t xml:space="preserve"> în centrul agendei de reforme. Îndeplinirea acestor standarde nu este posibilă fără o societate civilă puternică, bine organizată și cu capacitate reală de acțiune la nivel local.</w:t>
      </w:r>
    </w:p>
    <w:p w14:paraId="606E48BF" w14:textId="7F0E0F5F" w:rsidR="00EB7FE2" w:rsidRDefault="00EB7FE2" w:rsidP="00EB7FE2">
      <w:pPr>
        <w:spacing w:after="140"/>
        <w:jc w:val="both"/>
      </w:pPr>
      <w:r>
        <w:t>Societatea civilă și instituțiile media au un rol esențial în procesul de integrare europeană, depășind statutul de simpli observatori ai reformelor și afirmându-se ca actori activi în promovarea și monitorizarea acestora. Ele contribuie la implementarea politicilor publice, informează și educă cetățenii, oferă servicii acolo unde intervențiile statului sunt limitate și sprijină dezvoltarea unei culturi civice ancorate în valorile europene.</w:t>
      </w:r>
    </w:p>
    <w:p w14:paraId="01122F47" w14:textId="32881A4F" w:rsidR="008913FA" w:rsidRDefault="00EB7FE2" w:rsidP="00EB7FE2">
      <w:pPr>
        <w:spacing w:after="140"/>
        <w:jc w:val="both"/>
      </w:pPr>
      <w:r>
        <w:t xml:space="preserve">Organizațiile active în domeniul drepturilor omului, protecției victimelor și egalității de gen se disting, în mod particular, prin rolul lor de promotori ai acestor valori la nivel comunitar. Pregătirea societății civile și a organizațiilor media din Republica Moldova pentru a face față provocărilor și oportunităților aduse de procesul de aderare la UE este, prin urmare, o prioritate strategică. </w:t>
      </w:r>
      <w:r w:rsidRPr="00EB7FE2">
        <w:t xml:space="preserve">Societatea civilă </w:t>
      </w:r>
      <w:r>
        <w:t xml:space="preserve">și instituțiile media din raioanele Drochia, Dondușeni și </w:t>
      </w:r>
      <w:proofErr w:type="spellStart"/>
      <w:r>
        <w:t>Rîșcani</w:t>
      </w:r>
      <w:proofErr w:type="spellEnd"/>
      <w:r>
        <w:t xml:space="preserve"> care </w:t>
      </w:r>
      <w:r>
        <w:lastRenderedPageBreak/>
        <w:t xml:space="preserve">acționează în domeniul </w:t>
      </w:r>
      <w:proofErr w:type="spellStart"/>
      <w:r>
        <w:t>VF</w:t>
      </w:r>
      <w:proofErr w:type="spellEnd"/>
      <w:r>
        <w:t>/</w:t>
      </w:r>
      <w:proofErr w:type="spellStart"/>
      <w:r>
        <w:t>VBG</w:t>
      </w:r>
      <w:proofErr w:type="spellEnd"/>
      <w:r>
        <w:t xml:space="preserve"> contribuie direct la îndeplinirea angajamentelor asumate de Republica Moldova pe calea europeană: ele construiesc comunități mai sigure, mai echitabile și mai democratice — exact modelul de societate pe care integrarea europeană îl promovează.</w:t>
      </w:r>
    </w:p>
    <w:p w14:paraId="31AC5909" w14:textId="77777777" w:rsidR="008913FA" w:rsidRDefault="008F5F9A">
      <w:pPr>
        <w:pStyle w:val="Titlu2"/>
      </w:pPr>
      <w:r>
        <w:t xml:space="preserve">1.3 Răspunsul Artemida: programul de </w:t>
      </w:r>
      <w:proofErr w:type="spellStart"/>
      <w:r>
        <w:t>subgranturi</w:t>
      </w:r>
      <w:proofErr w:type="spellEnd"/>
    </w:p>
    <w:p w14:paraId="2FE0D6B3" w14:textId="4C01790F" w:rsidR="008913FA" w:rsidRDefault="008F5F9A" w:rsidP="00285707">
      <w:pPr>
        <w:spacing w:after="140"/>
        <w:jc w:val="both"/>
      </w:pPr>
      <w:r>
        <w:t xml:space="preserve">În acest context dual — național și european — Asociația Obștească Artemida lansează prezentul Program de Subgranturi ca mecanism de sprijin financiar și tehnic adresat societății civile și instituțiilor media din raioanele vizate. </w:t>
      </w:r>
      <w:r w:rsidR="00285707" w:rsidRPr="00285707">
        <w:t>Programul este conceput pentru a consolida răspunsul comunitar la fenomenul violenței în familie și al violenței bazate pe gen (</w:t>
      </w:r>
      <w:proofErr w:type="spellStart"/>
      <w:r w:rsidR="00285707" w:rsidRPr="00285707">
        <w:t>VF</w:t>
      </w:r>
      <w:proofErr w:type="spellEnd"/>
      <w:r w:rsidR="00285707" w:rsidRPr="00285707">
        <w:t>/</w:t>
      </w:r>
      <w:proofErr w:type="spellStart"/>
      <w:r w:rsidR="00285707" w:rsidRPr="00285707">
        <w:t>VBG</w:t>
      </w:r>
      <w:proofErr w:type="spellEnd"/>
      <w:r w:rsidR="00285707" w:rsidRPr="00285707">
        <w:t>), precum și pentru a dezvolta capacitățile organizaționale ale actorilor locali, astfel încât aceștia să poată interveni mai eficient și să se afirme ca parteneri credibili în procesul de integrare europeană a Republicii Moldova.</w:t>
      </w:r>
    </w:p>
    <w:p w14:paraId="5F99647F" w14:textId="77777777" w:rsidR="008913FA" w:rsidRDefault="008F5F9A">
      <w:pPr>
        <w:pStyle w:val="Titlu1"/>
      </w:pPr>
      <w:r>
        <w:t xml:space="preserve">2. Obiectivul programului de </w:t>
      </w:r>
      <w:proofErr w:type="spellStart"/>
      <w:r>
        <w:t>subgranturi</w:t>
      </w:r>
      <w:proofErr w:type="spellEnd"/>
    </w:p>
    <w:p w14:paraId="1AB14351" w14:textId="77777777" w:rsidR="008913FA" w:rsidRDefault="008F5F9A">
      <w:pPr>
        <w:pStyle w:val="Titlu2"/>
      </w:pPr>
      <w:r>
        <w:t>2.1 Obiectiv general</w:t>
      </w:r>
    </w:p>
    <w:p w14:paraId="23A03CDA" w14:textId="77777777" w:rsidR="00285707" w:rsidRDefault="00285707">
      <w:pPr>
        <w:pStyle w:val="Titlu2"/>
        <w:rPr>
          <w:b w:val="0"/>
          <w:bCs w:val="0"/>
          <w:color w:val="auto"/>
          <w:sz w:val="22"/>
          <w:szCs w:val="22"/>
        </w:rPr>
      </w:pPr>
      <w:r w:rsidRPr="00285707">
        <w:rPr>
          <w:b w:val="0"/>
          <w:bCs w:val="0"/>
          <w:color w:val="auto"/>
          <w:sz w:val="22"/>
          <w:szCs w:val="22"/>
        </w:rPr>
        <w:t>Programul urmărește simultan două obiective complementare: consolidarea răspunsului comunitar la fenomenul violenței în familie și al violenței bazate pe gen (</w:t>
      </w:r>
      <w:proofErr w:type="spellStart"/>
      <w:r w:rsidRPr="00285707">
        <w:rPr>
          <w:b w:val="0"/>
          <w:bCs w:val="0"/>
          <w:color w:val="auto"/>
          <w:sz w:val="22"/>
          <w:szCs w:val="22"/>
        </w:rPr>
        <w:t>VF</w:t>
      </w:r>
      <w:proofErr w:type="spellEnd"/>
      <w:r w:rsidRPr="00285707">
        <w:rPr>
          <w:b w:val="0"/>
          <w:bCs w:val="0"/>
          <w:color w:val="auto"/>
          <w:sz w:val="22"/>
          <w:szCs w:val="22"/>
        </w:rPr>
        <w:t>/</w:t>
      </w:r>
      <w:proofErr w:type="spellStart"/>
      <w:r w:rsidRPr="00285707">
        <w:rPr>
          <w:b w:val="0"/>
          <w:bCs w:val="0"/>
          <w:color w:val="auto"/>
          <w:sz w:val="22"/>
          <w:szCs w:val="22"/>
        </w:rPr>
        <w:t>VBG</w:t>
      </w:r>
      <w:proofErr w:type="spellEnd"/>
      <w:r w:rsidRPr="00285707">
        <w:rPr>
          <w:b w:val="0"/>
          <w:bCs w:val="0"/>
          <w:color w:val="auto"/>
          <w:sz w:val="22"/>
          <w:szCs w:val="22"/>
        </w:rPr>
        <w:t>) și întărirea capacităților organizaționale ale organizațiilor societății civile și ale instituțiilor media locale, sprijinindu-le să devină parteneri activi și credibili în procesul de integrare europeană a Republicii Moldova.</w:t>
      </w:r>
    </w:p>
    <w:p w14:paraId="744D20B3" w14:textId="328496F6" w:rsidR="008913FA" w:rsidRDefault="008F5F9A">
      <w:pPr>
        <w:pStyle w:val="Titlu2"/>
      </w:pPr>
      <w:r>
        <w:t>2.2 Obiective specifice</w:t>
      </w:r>
    </w:p>
    <w:p w14:paraId="4DEC5D93" w14:textId="7A1FD1B6" w:rsidR="008913FA" w:rsidRDefault="008F5F9A">
      <w:pPr>
        <w:pStyle w:val="Listparagraf"/>
        <w:numPr>
          <w:ilvl w:val="0"/>
          <w:numId w:val="2"/>
        </w:numPr>
        <w:spacing w:after="80"/>
      </w:pPr>
      <w:r>
        <w:t>Creșterea numărului de organizații</w:t>
      </w:r>
      <w:r w:rsidR="004D73BC">
        <w:t xml:space="preserve"> ale</w:t>
      </w:r>
      <w:r>
        <w:t xml:space="preserve"> </w:t>
      </w:r>
      <w:r w:rsidR="004D73BC">
        <w:t xml:space="preserve">societății civile </w:t>
      </w:r>
      <w:r>
        <w:t xml:space="preserve">și instituții media cu capacitate operațională în domeniul </w:t>
      </w:r>
      <w:proofErr w:type="spellStart"/>
      <w:r>
        <w:t>VF</w:t>
      </w:r>
      <w:proofErr w:type="spellEnd"/>
      <w:r>
        <w:t>/</w:t>
      </w:r>
      <w:proofErr w:type="spellStart"/>
      <w:r>
        <w:t>VBG</w:t>
      </w:r>
      <w:proofErr w:type="spellEnd"/>
      <w:r>
        <w:t xml:space="preserve"> din cele trei raioane.</w:t>
      </w:r>
    </w:p>
    <w:p w14:paraId="7FCEB5A0" w14:textId="77777777" w:rsidR="008913FA" w:rsidRDefault="008F5F9A">
      <w:pPr>
        <w:pStyle w:val="Listparagraf"/>
        <w:numPr>
          <w:ilvl w:val="0"/>
          <w:numId w:val="2"/>
        </w:numPr>
        <w:spacing w:after="80"/>
      </w:pPr>
      <w:r>
        <w:t>Extinderea și diversificarea serviciilor de prevenire, intervenție și suport adresate victimelor violenței.</w:t>
      </w:r>
    </w:p>
    <w:p w14:paraId="381ACA8A" w14:textId="77777777" w:rsidR="008913FA" w:rsidRDefault="008F5F9A">
      <w:pPr>
        <w:pStyle w:val="Listparagraf"/>
        <w:numPr>
          <w:ilvl w:val="0"/>
          <w:numId w:val="2"/>
        </w:numPr>
        <w:spacing w:after="80"/>
      </w:pPr>
      <w:r>
        <w:t>Sporirea gradului de conștientizare a comunităților locale cu privire la cauzele, consecințele și mecanismele de raportare a violenței.</w:t>
      </w:r>
    </w:p>
    <w:p w14:paraId="76D8DD15" w14:textId="77777777" w:rsidR="008913FA" w:rsidRDefault="008F5F9A">
      <w:pPr>
        <w:pStyle w:val="Listparagraf"/>
        <w:numPr>
          <w:ilvl w:val="0"/>
          <w:numId w:val="2"/>
        </w:numPr>
        <w:spacing w:after="80"/>
      </w:pPr>
      <w:r>
        <w:t>Promovarea colaborării inter-instituționale între societatea civilă, autorități locale și instituții publice.</w:t>
      </w:r>
    </w:p>
    <w:p w14:paraId="2158F156" w14:textId="0268CFFE" w:rsidR="008913FA" w:rsidRDefault="00306609" w:rsidP="00306609">
      <w:pPr>
        <w:pStyle w:val="Listparagraf"/>
        <w:numPr>
          <w:ilvl w:val="0"/>
          <w:numId w:val="2"/>
        </w:numPr>
        <w:spacing w:after="80"/>
      </w:pPr>
      <w:r w:rsidRPr="00306609">
        <w:t xml:space="preserve">Consolidarea durabilă a capacităților organizaționale ale beneficiarilor de </w:t>
      </w:r>
      <w:proofErr w:type="spellStart"/>
      <w:r w:rsidRPr="00306609">
        <w:t>subgranturi</w:t>
      </w:r>
      <w:proofErr w:type="spellEnd"/>
      <w:r w:rsidRPr="00306609">
        <w:t>, adaptată diferitelor niveluri de maturitate instituțională.</w:t>
      </w:r>
    </w:p>
    <w:p w14:paraId="6C2F3267" w14:textId="77777777" w:rsidR="008913FA" w:rsidRDefault="008F5F9A">
      <w:pPr>
        <w:pStyle w:val="Titlu1"/>
      </w:pPr>
      <w:r>
        <w:t>3. Categorii de finanțare și sume acordate</w:t>
      </w:r>
    </w:p>
    <w:p w14:paraId="69AD822A" w14:textId="77777777" w:rsidR="008913FA" w:rsidRDefault="008F5F9A">
      <w:pPr>
        <w:spacing w:after="140"/>
        <w:jc w:val="both"/>
      </w:pPr>
      <w:r>
        <w:t>Programul este structurat pe trei categorii de finanțare, diferențiate în funcție de vârsta organizațională a solicitantului, pentru a asigura sprijin adaptat nevoilor și capacităților fiecărei etape de dezvoltare instituțională:</w:t>
      </w:r>
    </w:p>
    <w:p w14:paraId="40678310" w14:textId="77777777" w:rsidR="008913FA" w:rsidRDefault="008913F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8913FA" w14:paraId="012FD23B" w14:textId="77777777">
        <w:trPr>
          <w:tblHeader/>
        </w:trPr>
        <w:tc>
          <w:tcPr>
            <w:tcW w:w="3120" w:type="dxa"/>
            <w:tcBorders>
              <w:top w:val="single" w:sz="1" w:space="0" w:color="CCCCCC"/>
              <w:left w:val="single" w:sz="1" w:space="0" w:color="CCCCCC"/>
              <w:bottom w:val="single" w:sz="1" w:space="0" w:color="CCCCCC"/>
              <w:right w:val="single" w:sz="1" w:space="0" w:color="CCCCCC"/>
            </w:tcBorders>
            <w:shd w:val="clear" w:color="auto" w:fill="1A5276"/>
            <w:tcMar>
              <w:top w:w="100" w:type="dxa"/>
              <w:left w:w="140" w:type="dxa"/>
              <w:bottom w:w="100" w:type="dxa"/>
              <w:right w:w="140" w:type="dxa"/>
            </w:tcMar>
            <w:vAlign w:val="center"/>
          </w:tcPr>
          <w:p w14:paraId="5E1BD5AD" w14:textId="77777777" w:rsidR="008913FA" w:rsidRDefault="008F5F9A">
            <w:pPr>
              <w:jc w:val="center"/>
            </w:pPr>
            <w:r>
              <w:rPr>
                <w:b/>
                <w:bCs/>
                <w:color w:val="FFFFFF"/>
                <w:sz w:val="20"/>
                <w:szCs w:val="20"/>
              </w:rPr>
              <w:t>Categoria</w:t>
            </w:r>
          </w:p>
        </w:tc>
        <w:tc>
          <w:tcPr>
            <w:tcW w:w="3120" w:type="dxa"/>
            <w:tcBorders>
              <w:top w:val="single" w:sz="1" w:space="0" w:color="CCCCCC"/>
              <w:left w:val="single" w:sz="1" w:space="0" w:color="CCCCCC"/>
              <w:bottom w:val="single" w:sz="1" w:space="0" w:color="CCCCCC"/>
              <w:right w:val="single" w:sz="1" w:space="0" w:color="CCCCCC"/>
            </w:tcBorders>
            <w:shd w:val="clear" w:color="auto" w:fill="1A5276"/>
            <w:tcMar>
              <w:top w:w="100" w:type="dxa"/>
              <w:left w:w="140" w:type="dxa"/>
              <w:bottom w:w="100" w:type="dxa"/>
              <w:right w:w="140" w:type="dxa"/>
            </w:tcMar>
            <w:vAlign w:val="center"/>
          </w:tcPr>
          <w:p w14:paraId="6CE13805" w14:textId="77777777" w:rsidR="008913FA" w:rsidRDefault="008F5F9A">
            <w:pPr>
              <w:jc w:val="center"/>
            </w:pPr>
            <w:r>
              <w:rPr>
                <w:b/>
                <w:bCs/>
                <w:color w:val="FFFFFF"/>
                <w:sz w:val="20"/>
                <w:szCs w:val="20"/>
              </w:rPr>
              <w:t>Vârsta organizației</w:t>
            </w:r>
          </w:p>
        </w:tc>
        <w:tc>
          <w:tcPr>
            <w:tcW w:w="3120" w:type="dxa"/>
            <w:tcBorders>
              <w:top w:val="single" w:sz="1" w:space="0" w:color="CCCCCC"/>
              <w:left w:val="single" w:sz="1" w:space="0" w:color="CCCCCC"/>
              <w:bottom w:val="single" w:sz="1" w:space="0" w:color="CCCCCC"/>
              <w:right w:val="single" w:sz="1" w:space="0" w:color="CCCCCC"/>
            </w:tcBorders>
            <w:shd w:val="clear" w:color="auto" w:fill="1A5276"/>
            <w:tcMar>
              <w:top w:w="100" w:type="dxa"/>
              <w:left w:w="140" w:type="dxa"/>
              <w:bottom w:w="100" w:type="dxa"/>
              <w:right w:w="140" w:type="dxa"/>
            </w:tcMar>
            <w:vAlign w:val="center"/>
          </w:tcPr>
          <w:p w14:paraId="172F006B" w14:textId="77777777" w:rsidR="008913FA" w:rsidRDefault="008F5F9A">
            <w:pPr>
              <w:jc w:val="center"/>
            </w:pPr>
            <w:r>
              <w:rPr>
                <w:b/>
                <w:bCs/>
                <w:color w:val="FFFFFF"/>
                <w:sz w:val="20"/>
                <w:szCs w:val="20"/>
              </w:rPr>
              <w:t>Suma maximă acordată</w:t>
            </w:r>
          </w:p>
        </w:tc>
      </w:tr>
      <w:tr w:rsidR="008913FA" w14:paraId="6DE3C640" w14:textId="77777777">
        <w:tc>
          <w:tcPr>
            <w:tcW w:w="312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40" w:type="dxa"/>
              <w:bottom w:w="100" w:type="dxa"/>
              <w:right w:w="140" w:type="dxa"/>
            </w:tcMar>
            <w:vAlign w:val="center"/>
          </w:tcPr>
          <w:p w14:paraId="22A0CE3E" w14:textId="77777777" w:rsidR="008913FA" w:rsidRDefault="008F5F9A">
            <w:pPr>
              <w:jc w:val="center"/>
            </w:pPr>
            <w:r>
              <w:rPr>
                <w:b/>
                <w:bCs/>
                <w:color w:val="000000"/>
                <w:sz w:val="20"/>
                <w:szCs w:val="20"/>
              </w:rPr>
              <w:t>Categoria I</w:t>
            </w:r>
          </w:p>
        </w:tc>
        <w:tc>
          <w:tcPr>
            <w:tcW w:w="312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40" w:type="dxa"/>
              <w:bottom w:w="100" w:type="dxa"/>
              <w:right w:w="140" w:type="dxa"/>
            </w:tcMar>
            <w:vAlign w:val="center"/>
          </w:tcPr>
          <w:p w14:paraId="0E14EBD5" w14:textId="77777777" w:rsidR="008913FA" w:rsidRDefault="008F5F9A">
            <w:pPr>
              <w:jc w:val="center"/>
            </w:pPr>
            <w:r>
              <w:rPr>
                <w:color w:val="000000"/>
                <w:sz w:val="20"/>
                <w:szCs w:val="20"/>
              </w:rPr>
              <w:t>Până la 3 ani</w:t>
            </w:r>
          </w:p>
        </w:tc>
        <w:tc>
          <w:tcPr>
            <w:tcW w:w="312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40" w:type="dxa"/>
              <w:bottom w:w="100" w:type="dxa"/>
              <w:right w:w="140" w:type="dxa"/>
            </w:tcMar>
            <w:vAlign w:val="center"/>
          </w:tcPr>
          <w:p w14:paraId="53A7F80C" w14:textId="72F9EDF8" w:rsidR="008913FA" w:rsidRDefault="008F5F9A">
            <w:pPr>
              <w:jc w:val="center"/>
            </w:pPr>
            <w:r>
              <w:rPr>
                <w:b/>
                <w:bCs/>
                <w:color w:val="000000"/>
                <w:sz w:val="20"/>
                <w:szCs w:val="20"/>
              </w:rPr>
              <w:t xml:space="preserve">Până la </w:t>
            </w:r>
            <w:r w:rsidR="0056740D">
              <w:rPr>
                <w:b/>
                <w:bCs/>
                <w:color w:val="000000"/>
                <w:sz w:val="20"/>
                <w:szCs w:val="20"/>
              </w:rPr>
              <w:t>100 000 lei</w:t>
            </w:r>
          </w:p>
        </w:tc>
      </w:tr>
      <w:tr w:rsidR="008913FA" w14:paraId="2AD9B3C1" w14:textId="77777777">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40" w:type="dxa"/>
              <w:bottom w:w="100" w:type="dxa"/>
              <w:right w:w="140" w:type="dxa"/>
            </w:tcMar>
            <w:vAlign w:val="center"/>
          </w:tcPr>
          <w:p w14:paraId="56397E55" w14:textId="77777777" w:rsidR="008913FA" w:rsidRDefault="008F5F9A">
            <w:pPr>
              <w:jc w:val="center"/>
            </w:pPr>
            <w:r>
              <w:rPr>
                <w:b/>
                <w:bCs/>
                <w:color w:val="000000"/>
                <w:sz w:val="20"/>
                <w:szCs w:val="20"/>
              </w:rPr>
              <w:t>Categoria II</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40" w:type="dxa"/>
              <w:bottom w:w="100" w:type="dxa"/>
              <w:right w:w="140" w:type="dxa"/>
            </w:tcMar>
            <w:vAlign w:val="center"/>
          </w:tcPr>
          <w:p w14:paraId="76B07118" w14:textId="77777777" w:rsidR="008913FA" w:rsidRDefault="008F5F9A">
            <w:pPr>
              <w:jc w:val="center"/>
            </w:pPr>
            <w:r>
              <w:rPr>
                <w:color w:val="000000"/>
                <w:sz w:val="20"/>
                <w:szCs w:val="20"/>
              </w:rPr>
              <w:t>3 – 10 ani</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40" w:type="dxa"/>
              <w:bottom w:w="100" w:type="dxa"/>
              <w:right w:w="140" w:type="dxa"/>
            </w:tcMar>
            <w:vAlign w:val="center"/>
          </w:tcPr>
          <w:p w14:paraId="69EFAD56" w14:textId="12E0D3C3" w:rsidR="008913FA" w:rsidRDefault="008F5F9A">
            <w:pPr>
              <w:jc w:val="center"/>
            </w:pPr>
            <w:r>
              <w:rPr>
                <w:b/>
                <w:bCs/>
                <w:color w:val="000000"/>
                <w:sz w:val="20"/>
                <w:szCs w:val="20"/>
              </w:rPr>
              <w:t xml:space="preserve">Până la </w:t>
            </w:r>
            <w:r w:rsidR="0056740D">
              <w:rPr>
                <w:b/>
                <w:bCs/>
                <w:color w:val="000000"/>
                <w:sz w:val="20"/>
                <w:szCs w:val="20"/>
              </w:rPr>
              <w:t>200 000 lei</w:t>
            </w:r>
          </w:p>
        </w:tc>
      </w:tr>
      <w:tr w:rsidR="008913FA" w14:paraId="2D4A4ED6" w14:textId="77777777">
        <w:tc>
          <w:tcPr>
            <w:tcW w:w="3120" w:type="dxa"/>
            <w:tcBorders>
              <w:top w:val="single" w:sz="1" w:space="0" w:color="CCCCCC"/>
              <w:left w:val="single" w:sz="1" w:space="0" w:color="CCCCCC"/>
              <w:bottom w:val="single" w:sz="1" w:space="0" w:color="CCCCCC"/>
              <w:right w:val="single" w:sz="1" w:space="0" w:color="CCCCCC"/>
            </w:tcBorders>
            <w:shd w:val="clear" w:color="auto" w:fill="D5F5E3"/>
            <w:tcMar>
              <w:top w:w="100" w:type="dxa"/>
              <w:left w:w="140" w:type="dxa"/>
              <w:bottom w:w="100" w:type="dxa"/>
              <w:right w:w="140" w:type="dxa"/>
            </w:tcMar>
            <w:vAlign w:val="center"/>
          </w:tcPr>
          <w:p w14:paraId="7CD1C216" w14:textId="77777777" w:rsidR="008913FA" w:rsidRDefault="008F5F9A">
            <w:pPr>
              <w:jc w:val="center"/>
            </w:pPr>
            <w:r>
              <w:rPr>
                <w:b/>
                <w:bCs/>
                <w:color w:val="000000"/>
                <w:sz w:val="20"/>
                <w:szCs w:val="20"/>
              </w:rPr>
              <w:t>Categoria III</w:t>
            </w:r>
          </w:p>
        </w:tc>
        <w:tc>
          <w:tcPr>
            <w:tcW w:w="3120" w:type="dxa"/>
            <w:tcBorders>
              <w:top w:val="single" w:sz="1" w:space="0" w:color="CCCCCC"/>
              <w:left w:val="single" w:sz="1" w:space="0" w:color="CCCCCC"/>
              <w:bottom w:val="single" w:sz="1" w:space="0" w:color="CCCCCC"/>
              <w:right w:val="single" w:sz="1" w:space="0" w:color="CCCCCC"/>
            </w:tcBorders>
            <w:shd w:val="clear" w:color="auto" w:fill="D5F5E3"/>
            <w:tcMar>
              <w:top w:w="100" w:type="dxa"/>
              <w:left w:w="140" w:type="dxa"/>
              <w:bottom w:w="100" w:type="dxa"/>
              <w:right w:w="140" w:type="dxa"/>
            </w:tcMar>
            <w:vAlign w:val="center"/>
          </w:tcPr>
          <w:p w14:paraId="160FB111" w14:textId="77777777" w:rsidR="008913FA" w:rsidRDefault="008F5F9A">
            <w:pPr>
              <w:jc w:val="center"/>
            </w:pPr>
            <w:r>
              <w:rPr>
                <w:color w:val="000000"/>
                <w:sz w:val="20"/>
                <w:szCs w:val="20"/>
              </w:rPr>
              <w:t>Peste 10 ani</w:t>
            </w:r>
          </w:p>
        </w:tc>
        <w:tc>
          <w:tcPr>
            <w:tcW w:w="3120" w:type="dxa"/>
            <w:tcBorders>
              <w:top w:val="single" w:sz="1" w:space="0" w:color="CCCCCC"/>
              <w:left w:val="single" w:sz="1" w:space="0" w:color="CCCCCC"/>
              <w:bottom w:val="single" w:sz="1" w:space="0" w:color="CCCCCC"/>
              <w:right w:val="single" w:sz="1" w:space="0" w:color="CCCCCC"/>
            </w:tcBorders>
            <w:shd w:val="clear" w:color="auto" w:fill="D5F5E3"/>
            <w:tcMar>
              <w:top w:w="100" w:type="dxa"/>
              <w:left w:w="140" w:type="dxa"/>
              <w:bottom w:w="100" w:type="dxa"/>
              <w:right w:w="140" w:type="dxa"/>
            </w:tcMar>
            <w:vAlign w:val="center"/>
          </w:tcPr>
          <w:p w14:paraId="7308A261" w14:textId="6DDCD2E9" w:rsidR="008913FA" w:rsidRDefault="008F5F9A">
            <w:pPr>
              <w:jc w:val="center"/>
            </w:pPr>
            <w:r>
              <w:rPr>
                <w:b/>
                <w:bCs/>
                <w:color w:val="000000"/>
                <w:sz w:val="20"/>
                <w:szCs w:val="20"/>
              </w:rPr>
              <w:t xml:space="preserve">Până la </w:t>
            </w:r>
            <w:r w:rsidR="0056740D">
              <w:rPr>
                <w:b/>
                <w:bCs/>
                <w:color w:val="000000"/>
                <w:sz w:val="20"/>
                <w:szCs w:val="20"/>
              </w:rPr>
              <w:t>300 000 lei</w:t>
            </w:r>
          </w:p>
        </w:tc>
      </w:tr>
    </w:tbl>
    <w:p w14:paraId="16BF3B4A" w14:textId="77777777" w:rsidR="008913FA" w:rsidRDefault="008913FA"/>
    <w:p w14:paraId="0D7A4D0D" w14:textId="3B9ADDA4" w:rsidR="008913FA" w:rsidRDefault="008F5F9A" w:rsidP="00306609">
      <w:pPr>
        <w:spacing w:after="140"/>
      </w:pPr>
      <w:r>
        <w:rPr>
          <w:i/>
          <w:iCs/>
          <w:color w:val="555555"/>
        </w:rPr>
        <w:t xml:space="preserve">Nota privind încadrarea în categorie: Vârsta organizației se calculează de la data înregistrării oficiale în Republica Moldova până la data depunerii dosarului de aplicare. Limitele de vârstă </w:t>
      </w:r>
      <w:r>
        <w:rPr>
          <w:i/>
          <w:iCs/>
          <w:color w:val="555555"/>
        </w:rPr>
        <w:lastRenderedPageBreak/>
        <w:t>sunt stricte și inclusive: o organizație cu vârsta de 3 ani și o zi se încadrează în Categoria II (nu Categoria I); o organizație cu vârsta de 10 ani și o zi se încadrează în Categoria III (nu Categoria II).</w:t>
      </w:r>
    </w:p>
    <w:p w14:paraId="27EA9A7B" w14:textId="77777777" w:rsidR="008913FA" w:rsidRDefault="008F5F9A">
      <w:pPr>
        <w:pStyle w:val="Titlu1"/>
      </w:pPr>
      <w:r>
        <w:t>4. Structura bugetului de proiect</w:t>
      </w:r>
    </w:p>
    <w:p w14:paraId="6E352158" w14:textId="77777777" w:rsidR="008913FA" w:rsidRDefault="008F5F9A">
      <w:pPr>
        <w:spacing w:after="140"/>
        <w:jc w:val="both"/>
      </w:pPr>
      <w:r>
        <w:t>Bugetul oricărui proiect finanțat în cadrul prezentului program trebuie să respecte următoarea structură obligatorie:</w:t>
      </w:r>
    </w:p>
    <w:p w14:paraId="074D23CF" w14:textId="77777777" w:rsidR="008913FA" w:rsidRDefault="008913F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2340"/>
        <w:gridCol w:w="2340"/>
      </w:tblGrid>
      <w:tr w:rsidR="008913FA" w14:paraId="49125AE7" w14:textId="77777777">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1A5276"/>
            <w:tcMar>
              <w:top w:w="100" w:type="dxa"/>
              <w:left w:w="140" w:type="dxa"/>
              <w:bottom w:w="100" w:type="dxa"/>
              <w:right w:w="140" w:type="dxa"/>
            </w:tcMar>
            <w:vAlign w:val="center"/>
          </w:tcPr>
          <w:p w14:paraId="356372F9" w14:textId="77777777" w:rsidR="008913FA" w:rsidRDefault="008F5F9A">
            <w:r>
              <w:rPr>
                <w:b/>
                <w:bCs/>
                <w:color w:val="FFFFFF"/>
                <w:sz w:val="20"/>
                <w:szCs w:val="20"/>
              </w:rPr>
              <w:t>Linie bugetară</w:t>
            </w:r>
          </w:p>
        </w:tc>
        <w:tc>
          <w:tcPr>
            <w:tcW w:w="2340" w:type="dxa"/>
            <w:tcBorders>
              <w:top w:val="single" w:sz="1" w:space="0" w:color="CCCCCC"/>
              <w:left w:val="single" w:sz="1" w:space="0" w:color="CCCCCC"/>
              <w:bottom w:val="single" w:sz="1" w:space="0" w:color="CCCCCC"/>
              <w:right w:val="single" w:sz="1" w:space="0" w:color="CCCCCC"/>
            </w:tcBorders>
            <w:shd w:val="clear" w:color="auto" w:fill="1A5276"/>
            <w:tcMar>
              <w:top w:w="100" w:type="dxa"/>
              <w:left w:w="140" w:type="dxa"/>
              <w:bottom w:w="100" w:type="dxa"/>
              <w:right w:w="140" w:type="dxa"/>
            </w:tcMar>
            <w:vAlign w:val="center"/>
          </w:tcPr>
          <w:p w14:paraId="433E8BD4" w14:textId="77777777" w:rsidR="008913FA" w:rsidRDefault="008F5F9A">
            <w:pPr>
              <w:jc w:val="center"/>
            </w:pPr>
            <w:r>
              <w:rPr>
                <w:b/>
                <w:bCs/>
                <w:color w:val="FFFFFF"/>
                <w:sz w:val="20"/>
                <w:szCs w:val="20"/>
              </w:rPr>
              <w:t>Procent</w:t>
            </w:r>
          </w:p>
        </w:tc>
        <w:tc>
          <w:tcPr>
            <w:tcW w:w="2340" w:type="dxa"/>
            <w:tcBorders>
              <w:top w:val="single" w:sz="1" w:space="0" w:color="CCCCCC"/>
              <w:left w:val="single" w:sz="1" w:space="0" w:color="CCCCCC"/>
              <w:bottom w:val="single" w:sz="1" w:space="0" w:color="CCCCCC"/>
              <w:right w:val="single" w:sz="1" w:space="0" w:color="CCCCCC"/>
            </w:tcBorders>
            <w:shd w:val="clear" w:color="auto" w:fill="1A5276"/>
            <w:tcMar>
              <w:top w:w="100" w:type="dxa"/>
              <w:left w:w="140" w:type="dxa"/>
              <w:bottom w:w="100" w:type="dxa"/>
              <w:right w:w="140" w:type="dxa"/>
            </w:tcMar>
            <w:vAlign w:val="center"/>
          </w:tcPr>
          <w:p w14:paraId="518727E5" w14:textId="77777777" w:rsidR="008913FA" w:rsidRDefault="008F5F9A">
            <w:pPr>
              <w:jc w:val="center"/>
            </w:pPr>
            <w:r>
              <w:rPr>
                <w:b/>
                <w:bCs/>
                <w:color w:val="FFFFFF"/>
                <w:sz w:val="20"/>
                <w:szCs w:val="20"/>
              </w:rPr>
              <w:t>Descriere</w:t>
            </w:r>
          </w:p>
        </w:tc>
      </w:tr>
      <w:tr w:rsidR="008913FA" w14:paraId="5CC07236" w14:textId="77777777">
        <w:tc>
          <w:tcPr>
            <w:tcW w:w="468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40" w:type="dxa"/>
              <w:bottom w:w="100" w:type="dxa"/>
              <w:right w:w="140" w:type="dxa"/>
            </w:tcMar>
            <w:vAlign w:val="center"/>
          </w:tcPr>
          <w:p w14:paraId="60361A2C" w14:textId="77777777" w:rsidR="008913FA" w:rsidRDefault="008F5F9A">
            <w:r>
              <w:rPr>
                <w:b/>
                <w:bCs/>
                <w:color w:val="000000"/>
                <w:sz w:val="20"/>
                <w:szCs w:val="20"/>
              </w:rPr>
              <w:t>Activități de program</w:t>
            </w:r>
          </w:p>
        </w:tc>
        <w:tc>
          <w:tcPr>
            <w:tcW w:w="234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40" w:type="dxa"/>
              <w:bottom w:w="100" w:type="dxa"/>
              <w:right w:w="140" w:type="dxa"/>
            </w:tcMar>
            <w:vAlign w:val="center"/>
          </w:tcPr>
          <w:p w14:paraId="1696E40D" w14:textId="77777777" w:rsidR="008913FA" w:rsidRDefault="008F5F9A">
            <w:pPr>
              <w:jc w:val="center"/>
            </w:pPr>
            <w:r>
              <w:rPr>
                <w:color w:val="000000"/>
                <w:sz w:val="20"/>
                <w:szCs w:val="20"/>
              </w:rPr>
              <w:t>Cel puțin 70%</w:t>
            </w:r>
          </w:p>
        </w:tc>
        <w:tc>
          <w:tcPr>
            <w:tcW w:w="234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40" w:type="dxa"/>
              <w:bottom w:w="100" w:type="dxa"/>
              <w:right w:w="140" w:type="dxa"/>
            </w:tcMar>
            <w:vAlign w:val="center"/>
          </w:tcPr>
          <w:p w14:paraId="35B786F0" w14:textId="77777777" w:rsidR="008913FA" w:rsidRDefault="008F5F9A">
            <w:r>
              <w:rPr>
                <w:color w:val="000000"/>
                <w:sz w:val="20"/>
                <w:szCs w:val="20"/>
              </w:rPr>
              <w:t>Activități directe, beneficiari, servicii</w:t>
            </w:r>
          </w:p>
        </w:tc>
      </w:tr>
      <w:tr w:rsidR="008913FA" w14:paraId="6B87F850" w14:textId="77777777">
        <w:tc>
          <w:tcPr>
            <w:tcW w:w="468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40" w:type="dxa"/>
              <w:bottom w:w="100" w:type="dxa"/>
              <w:right w:w="140" w:type="dxa"/>
            </w:tcMar>
            <w:vAlign w:val="center"/>
          </w:tcPr>
          <w:p w14:paraId="5DEA7754" w14:textId="77777777" w:rsidR="008913FA" w:rsidRDefault="008F5F9A">
            <w:r>
              <w:rPr>
                <w:b/>
                <w:bCs/>
                <w:color w:val="000000"/>
                <w:sz w:val="20"/>
                <w:szCs w:val="20"/>
              </w:rPr>
              <w:t>Costuri administrative / indirecte</w:t>
            </w:r>
          </w:p>
        </w:tc>
        <w:tc>
          <w:tcPr>
            <w:tcW w:w="234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40" w:type="dxa"/>
              <w:bottom w:w="100" w:type="dxa"/>
              <w:right w:w="140" w:type="dxa"/>
            </w:tcMar>
            <w:vAlign w:val="center"/>
          </w:tcPr>
          <w:p w14:paraId="06F0B912" w14:textId="77777777" w:rsidR="008913FA" w:rsidRDefault="008F5F9A">
            <w:pPr>
              <w:jc w:val="center"/>
            </w:pPr>
            <w:r>
              <w:rPr>
                <w:color w:val="000000"/>
                <w:sz w:val="20"/>
                <w:szCs w:val="20"/>
              </w:rPr>
              <w:t>Până la 30%</w:t>
            </w:r>
          </w:p>
        </w:tc>
        <w:tc>
          <w:tcPr>
            <w:tcW w:w="234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40" w:type="dxa"/>
              <w:bottom w:w="100" w:type="dxa"/>
              <w:right w:w="140" w:type="dxa"/>
            </w:tcMar>
            <w:vAlign w:val="center"/>
          </w:tcPr>
          <w:p w14:paraId="5BF89C10" w14:textId="77777777" w:rsidR="008913FA" w:rsidRDefault="008F5F9A">
            <w:r>
              <w:rPr>
                <w:color w:val="000000"/>
                <w:sz w:val="20"/>
                <w:szCs w:val="20"/>
              </w:rPr>
              <w:t>Management, contabilitate, birou, transport</w:t>
            </w:r>
          </w:p>
        </w:tc>
      </w:tr>
    </w:tbl>
    <w:p w14:paraId="5A4E017C" w14:textId="77777777" w:rsidR="008913FA" w:rsidRDefault="008913FA"/>
    <w:p w14:paraId="7D9BC597" w14:textId="77777777" w:rsidR="008913FA" w:rsidRDefault="008F5F9A">
      <w:pPr>
        <w:spacing w:after="140"/>
        <w:jc w:val="both"/>
      </w:pPr>
      <w:r>
        <w:rPr>
          <w:i/>
          <w:iCs/>
          <w:color w:val="555555"/>
        </w:rPr>
        <w:t>Costurile administrative includ: remunerarea personalului administrativ (contabil, coordonator de proiect), chiria biroului, utilitățile, consumabilele de birou, comunicațiile, transportul și alte cheltuieli administrative.</w:t>
      </w:r>
    </w:p>
    <w:p w14:paraId="5BF82000" w14:textId="77777777" w:rsidR="008913FA" w:rsidRDefault="008F5F9A">
      <w:pPr>
        <w:spacing w:after="140"/>
        <w:jc w:val="both"/>
      </w:pPr>
      <w:r>
        <w:rPr>
          <w:i/>
          <w:iCs/>
          <w:color w:val="555555"/>
        </w:rPr>
        <w:t>Costurile de activitate includ: organizarea evenimentelor, sesiunilor de formare, campaniilor de sensibilizare, producerea materialelor informative, onorariile formatorilor și experților, birotica necesară pentru activitățile directe și alte cheltuieli legate direct de atingerea rezultatelor proiectului.</w:t>
      </w:r>
    </w:p>
    <w:p w14:paraId="58F07A70" w14:textId="77777777" w:rsidR="008913FA" w:rsidRDefault="008913FA"/>
    <w:p w14:paraId="1C95FDBF" w14:textId="77777777" w:rsidR="008913FA" w:rsidRDefault="008F5F9A">
      <w:pPr>
        <w:pStyle w:val="Titlu1"/>
      </w:pPr>
      <w:r>
        <w:t>5. Activități eligibile</w:t>
      </w:r>
    </w:p>
    <w:p w14:paraId="413440CF" w14:textId="77777777" w:rsidR="008913FA" w:rsidRDefault="008F5F9A">
      <w:pPr>
        <w:spacing w:after="140"/>
        <w:jc w:val="both"/>
      </w:pPr>
      <w:r>
        <w:t>Proiectele finanțate în cadrul acestui program pot include, fără a se limita la:</w:t>
      </w:r>
    </w:p>
    <w:p w14:paraId="0CA7166D" w14:textId="77777777" w:rsidR="008913FA" w:rsidRDefault="008F5F9A">
      <w:pPr>
        <w:pStyle w:val="Titlu2"/>
      </w:pPr>
      <w:r>
        <w:t>5.1 Prevenire și conștientizare</w:t>
      </w:r>
    </w:p>
    <w:p w14:paraId="0114032E" w14:textId="77777777" w:rsidR="008913FA" w:rsidRDefault="008F5F9A">
      <w:pPr>
        <w:pStyle w:val="Listparagraf"/>
        <w:numPr>
          <w:ilvl w:val="0"/>
          <w:numId w:val="2"/>
        </w:numPr>
        <w:spacing w:after="80"/>
      </w:pPr>
      <w:r>
        <w:t>Campanii comunitare de informare privind drepturile victimelor și mecanismele legale de protecție.</w:t>
      </w:r>
    </w:p>
    <w:p w14:paraId="77CABC4C" w14:textId="77777777" w:rsidR="008913FA" w:rsidRDefault="008F5F9A">
      <w:pPr>
        <w:pStyle w:val="Listparagraf"/>
        <w:numPr>
          <w:ilvl w:val="0"/>
          <w:numId w:val="2"/>
        </w:numPr>
        <w:spacing w:after="80"/>
      </w:pPr>
      <w:r>
        <w:t>Sesiuni educaționale în școli, licee, centre comunitare privind relațiile sănătoase și violența bazată pe gen.</w:t>
      </w:r>
    </w:p>
    <w:p w14:paraId="37A69F7B" w14:textId="77777777" w:rsidR="008913FA" w:rsidRDefault="008F5F9A">
      <w:pPr>
        <w:pStyle w:val="Listparagraf"/>
        <w:numPr>
          <w:ilvl w:val="0"/>
          <w:numId w:val="2"/>
        </w:numPr>
        <w:spacing w:after="80"/>
      </w:pPr>
      <w:r>
        <w:t>Producerea și distribuirea materialelor informative (pliante, ghiduri, afișe, materiale video).</w:t>
      </w:r>
    </w:p>
    <w:p w14:paraId="0E40F80B" w14:textId="77777777" w:rsidR="008913FA" w:rsidRDefault="008F5F9A">
      <w:pPr>
        <w:pStyle w:val="Listparagraf"/>
        <w:numPr>
          <w:ilvl w:val="0"/>
          <w:numId w:val="2"/>
        </w:numPr>
        <w:spacing w:after="80"/>
      </w:pPr>
      <w:r>
        <w:t>Evenimente publice de marcare a datelor relevante (16 zile de activism etc.).</w:t>
      </w:r>
    </w:p>
    <w:p w14:paraId="6D7886F9" w14:textId="77777777" w:rsidR="008913FA" w:rsidRDefault="008F5F9A">
      <w:pPr>
        <w:pStyle w:val="Listparagraf"/>
        <w:numPr>
          <w:ilvl w:val="0"/>
          <w:numId w:val="2"/>
        </w:numPr>
        <w:spacing w:after="80"/>
      </w:pPr>
      <w:r>
        <w:t>Platforme online de informare și sensibilizare pentru tineri și adulți.</w:t>
      </w:r>
    </w:p>
    <w:p w14:paraId="43DEFB83" w14:textId="77777777" w:rsidR="008913FA" w:rsidRDefault="008F5F9A">
      <w:pPr>
        <w:pStyle w:val="Titlu2"/>
      </w:pPr>
      <w:r>
        <w:t>5.2 Servicii directe pentru victime</w:t>
      </w:r>
    </w:p>
    <w:p w14:paraId="5C63B092" w14:textId="19F1A0DE" w:rsidR="008913FA" w:rsidRDefault="008F5F9A">
      <w:pPr>
        <w:pStyle w:val="Listparagraf"/>
        <w:numPr>
          <w:ilvl w:val="0"/>
          <w:numId w:val="2"/>
        </w:numPr>
        <w:spacing w:after="80"/>
      </w:pPr>
      <w:r>
        <w:t xml:space="preserve">Consiliere psihologică individuală  pentru victimele </w:t>
      </w:r>
      <w:proofErr w:type="spellStart"/>
      <w:r>
        <w:t>VF</w:t>
      </w:r>
      <w:proofErr w:type="spellEnd"/>
      <w:r>
        <w:t>/</w:t>
      </w:r>
      <w:proofErr w:type="spellStart"/>
      <w:r>
        <w:t>VBG</w:t>
      </w:r>
      <w:proofErr w:type="spellEnd"/>
      <w:r>
        <w:t>.</w:t>
      </w:r>
    </w:p>
    <w:p w14:paraId="7779C506" w14:textId="77777777" w:rsidR="008913FA" w:rsidRDefault="008F5F9A">
      <w:pPr>
        <w:pStyle w:val="Listparagraf"/>
        <w:numPr>
          <w:ilvl w:val="0"/>
          <w:numId w:val="2"/>
        </w:numPr>
        <w:spacing w:after="80"/>
      </w:pPr>
      <w:r>
        <w:t>Asistență juridică primară și orientare către servicii specializate.</w:t>
      </w:r>
    </w:p>
    <w:p w14:paraId="426AA59E" w14:textId="77777777" w:rsidR="00DF1080" w:rsidRDefault="00DF1080">
      <w:pPr>
        <w:pStyle w:val="Listparagraf"/>
        <w:numPr>
          <w:ilvl w:val="0"/>
          <w:numId w:val="2"/>
        </w:numPr>
        <w:spacing w:after="80"/>
      </w:pPr>
      <w:r w:rsidRPr="00DF1080">
        <w:t>Organizarea de grupuri de sprijin și abilitare pentru femei și fete afectate de violență.</w:t>
      </w:r>
    </w:p>
    <w:p w14:paraId="7B7499C1" w14:textId="77777777" w:rsidR="00DF1080" w:rsidRDefault="00DF1080">
      <w:pPr>
        <w:pStyle w:val="Listparagraf"/>
        <w:numPr>
          <w:ilvl w:val="0"/>
          <w:numId w:val="2"/>
        </w:numPr>
        <w:spacing w:after="80"/>
      </w:pPr>
      <w:r w:rsidRPr="00DF1080">
        <w:t>Acordarea de asistență socială și referirea către servicii medicale, sociale și de protecție.</w:t>
      </w:r>
    </w:p>
    <w:p w14:paraId="38B965F7" w14:textId="77777777" w:rsidR="00DF1080" w:rsidRDefault="00DF1080" w:rsidP="00DF1080">
      <w:pPr>
        <w:pStyle w:val="Listparagraf"/>
        <w:numPr>
          <w:ilvl w:val="0"/>
          <w:numId w:val="2"/>
        </w:numPr>
        <w:spacing w:after="80"/>
      </w:pPr>
      <w:r w:rsidRPr="00DF1080">
        <w:t>Acordarea asistenței de urgență pentru victime aflate în situații de risc imediat.</w:t>
      </w:r>
    </w:p>
    <w:p w14:paraId="7A955D0E" w14:textId="53C49C9F" w:rsidR="008913FA" w:rsidRDefault="008F5F9A" w:rsidP="00DF1080">
      <w:pPr>
        <w:spacing w:after="80"/>
      </w:pPr>
      <w:r w:rsidRPr="00DF1080">
        <w:rPr>
          <w:b/>
          <w:bCs/>
          <w:color w:val="1F618D"/>
          <w:sz w:val="24"/>
          <w:szCs w:val="24"/>
        </w:rPr>
        <w:lastRenderedPageBreak/>
        <w:t xml:space="preserve">5.3 </w:t>
      </w:r>
      <w:proofErr w:type="spellStart"/>
      <w:r w:rsidRPr="00DF1080">
        <w:rPr>
          <w:b/>
          <w:bCs/>
          <w:color w:val="1F618D"/>
          <w:sz w:val="24"/>
          <w:szCs w:val="24"/>
        </w:rPr>
        <w:t>Advocacy</w:t>
      </w:r>
      <w:proofErr w:type="spellEnd"/>
      <w:r w:rsidRPr="00DF1080">
        <w:rPr>
          <w:b/>
          <w:bCs/>
          <w:color w:val="1F618D"/>
          <w:sz w:val="24"/>
          <w:szCs w:val="24"/>
        </w:rPr>
        <w:t xml:space="preserve"> și implicare comunitară</w:t>
      </w:r>
    </w:p>
    <w:p w14:paraId="4F1FE9DB" w14:textId="77777777" w:rsidR="008913FA" w:rsidRDefault="008F5F9A">
      <w:pPr>
        <w:pStyle w:val="Listparagraf"/>
        <w:numPr>
          <w:ilvl w:val="0"/>
          <w:numId w:val="2"/>
        </w:numPr>
        <w:spacing w:after="80"/>
      </w:pPr>
      <w:proofErr w:type="spellStart"/>
      <w:r>
        <w:t>Advocacy</w:t>
      </w:r>
      <w:proofErr w:type="spellEnd"/>
      <w:r>
        <w:t xml:space="preserve"> local pentru îmbunătățirea politicilor și mecanismelor de răspuns la </w:t>
      </w:r>
      <w:proofErr w:type="spellStart"/>
      <w:r>
        <w:t>VF</w:t>
      </w:r>
      <w:proofErr w:type="spellEnd"/>
      <w:r>
        <w:t>/</w:t>
      </w:r>
      <w:proofErr w:type="spellStart"/>
      <w:r>
        <w:t>VBG</w:t>
      </w:r>
      <w:proofErr w:type="spellEnd"/>
      <w:r>
        <w:t>.</w:t>
      </w:r>
    </w:p>
    <w:p w14:paraId="165B557F" w14:textId="77777777" w:rsidR="008913FA" w:rsidRDefault="008F5F9A">
      <w:pPr>
        <w:pStyle w:val="Listparagraf"/>
        <w:numPr>
          <w:ilvl w:val="0"/>
          <w:numId w:val="2"/>
        </w:numPr>
        <w:spacing w:after="80"/>
      </w:pPr>
      <w:r>
        <w:t>Parteneriate cu autorități publice locale pentru implementarea planurilor de acțiune.</w:t>
      </w:r>
    </w:p>
    <w:p w14:paraId="48EBA1EF" w14:textId="77777777" w:rsidR="008913FA" w:rsidRDefault="008F5F9A">
      <w:pPr>
        <w:pStyle w:val="Listparagraf"/>
        <w:numPr>
          <w:ilvl w:val="0"/>
          <w:numId w:val="2"/>
        </w:numPr>
        <w:spacing w:after="80"/>
      </w:pPr>
      <w:r>
        <w:t>Formarea profesioniștilor locali în identificarea și referirea cazurilor.</w:t>
      </w:r>
    </w:p>
    <w:p w14:paraId="12B01B87" w14:textId="77777777" w:rsidR="008913FA" w:rsidRDefault="008F5F9A">
      <w:pPr>
        <w:pStyle w:val="Listparagraf"/>
        <w:numPr>
          <w:ilvl w:val="0"/>
          <w:numId w:val="2"/>
        </w:numPr>
        <w:spacing w:after="80"/>
      </w:pPr>
      <w:r>
        <w:t>Crearea sau consolidarea rețelelor comunitare de supraveghere și sprijin.</w:t>
      </w:r>
    </w:p>
    <w:p w14:paraId="091CCB62" w14:textId="77777777" w:rsidR="008913FA" w:rsidRDefault="008913FA"/>
    <w:p w14:paraId="30B33110" w14:textId="77777777" w:rsidR="008913FA" w:rsidRDefault="008F5F9A">
      <w:pPr>
        <w:pStyle w:val="Titlu1"/>
      </w:pPr>
      <w:r>
        <w:t>6. Criterii de eligibilitate</w:t>
      </w:r>
    </w:p>
    <w:p w14:paraId="656E1112" w14:textId="77777777" w:rsidR="008913FA" w:rsidRDefault="008F5F9A">
      <w:pPr>
        <w:pStyle w:val="Titlu2"/>
      </w:pPr>
      <w:r>
        <w:t>6.1 Eligibilitatea organizației</w:t>
      </w:r>
    </w:p>
    <w:p w14:paraId="4A91CCB6" w14:textId="77777777" w:rsidR="008913FA" w:rsidRDefault="008F5F9A">
      <w:pPr>
        <w:spacing w:after="140"/>
        <w:jc w:val="both"/>
      </w:pPr>
      <w:r>
        <w:t>Pentru a fi eligibilă, organizația solicitantă trebuie să îndeplinească cumulativ următoarele condiții:</w:t>
      </w:r>
    </w:p>
    <w:p w14:paraId="0382D9FA" w14:textId="155E0C50" w:rsidR="00102496" w:rsidRDefault="00102496" w:rsidP="00102496">
      <w:pPr>
        <w:pStyle w:val="Listparagraf"/>
        <w:numPr>
          <w:ilvl w:val="0"/>
          <w:numId w:val="2"/>
        </w:numPr>
        <w:spacing w:after="80"/>
      </w:pPr>
      <w:r>
        <w:t>Să fie înregistrată legal ca organizație necomercială (asociație obștească) sau instituție media, în conformitate cu legislația Republicii Moldova;</w:t>
      </w:r>
    </w:p>
    <w:p w14:paraId="4DF10750" w14:textId="77777777" w:rsidR="00102496" w:rsidRDefault="00102496" w:rsidP="00102496">
      <w:pPr>
        <w:pStyle w:val="Listparagraf"/>
        <w:numPr>
          <w:ilvl w:val="0"/>
          <w:numId w:val="2"/>
        </w:numPr>
        <w:spacing w:after="80"/>
      </w:pPr>
      <w:r>
        <w:t xml:space="preserve">Să aibă sediul înregistrat în unul dintre raioanele Drochia, Dondușeni sau </w:t>
      </w:r>
      <w:proofErr w:type="spellStart"/>
      <w:r>
        <w:t>Rîșcani</w:t>
      </w:r>
      <w:proofErr w:type="spellEnd"/>
      <w:r>
        <w:t>;</w:t>
      </w:r>
    </w:p>
    <w:p w14:paraId="32B26A72" w14:textId="77777777" w:rsidR="00102496" w:rsidRDefault="00102496" w:rsidP="00102496">
      <w:pPr>
        <w:pStyle w:val="Listparagraf"/>
        <w:numPr>
          <w:ilvl w:val="0"/>
          <w:numId w:val="2"/>
        </w:numPr>
        <w:spacing w:after="80"/>
      </w:pPr>
      <w:r>
        <w:t>Să nu se afle în proces de lichidare, insolvabilitate sau suspendare a activității;</w:t>
      </w:r>
    </w:p>
    <w:p w14:paraId="01AA5DDA" w14:textId="77777777" w:rsidR="00102496" w:rsidRDefault="00102496" w:rsidP="00102496">
      <w:pPr>
        <w:pStyle w:val="Listparagraf"/>
        <w:numPr>
          <w:ilvl w:val="0"/>
          <w:numId w:val="2"/>
        </w:numPr>
        <w:spacing w:after="80"/>
      </w:pPr>
      <w:r>
        <w:t>Să nu aibă datorii fiscale restante la data depunerii dosarului;</w:t>
      </w:r>
    </w:p>
    <w:p w14:paraId="7FDF1DC7" w14:textId="77777777" w:rsidR="00102496" w:rsidRDefault="00102496" w:rsidP="00102496">
      <w:pPr>
        <w:pStyle w:val="Listparagraf"/>
        <w:numPr>
          <w:ilvl w:val="0"/>
          <w:numId w:val="2"/>
        </w:numPr>
        <w:spacing w:after="80"/>
      </w:pPr>
      <w:r>
        <w:t>Să nu fi fost sancționată pentru utilizarea neconformă a fondurilor publice sau private în ultimii 3 ani;</w:t>
      </w:r>
    </w:p>
    <w:p w14:paraId="2D86543B" w14:textId="77777777" w:rsidR="00102496" w:rsidRDefault="00102496" w:rsidP="00102496">
      <w:pPr>
        <w:pStyle w:val="Listparagraf"/>
        <w:numPr>
          <w:ilvl w:val="0"/>
          <w:numId w:val="2"/>
        </w:numPr>
        <w:spacing w:after="80"/>
      </w:pPr>
      <w:r>
        <w:t>Să respecte principiile de etică, nediscriminare și egalitate de gen;</w:t>
      </w:r>
    </w:p>
    <w:p w14:paraId="155A20E5" w14:textId="77777777" w:rsidR="00102496" w:rsidRDefault="00102496" w:rsidP="00102496">
      <w:pPr>
        <w:pStyle w:val="Listparagraf"/>
        <w:numPr>
          <w:ilvl w:val="0"/>
          <w:numId w:val="2"/>
        </w:numPr>
        <w:spacing w:after="80"/>
      </w:pPr>
      <w:r>
        <w:t>Să demonstreze capacitate de gestionare transparentă și responsabilă a fondurilor;</w:t>
      </w:r>
    </w:p>
    <w:p w14:paraId="47825514" w14:textId="77777777" w:rsidR="00102496" w:rsidRDefault="00102496" w:rsidP="00102496">
      <w:pPr>
        <w:pStyle w:val="Listparagraf"/>
        <w:numPr>
          <w:ilvl w:val="0"/>
          <w:numId w:val="2"/>
        </w:numPr>
        <w:spacing w:after="80"/>
      </w:pPr>
      <w:r>
        <w:t>Să se angajeze să respecte cerințele programului, inclusiv privind raportarea, vizibilitatea și monitorizarea.</w:t>
      </w:r>
    </w:p>
    <w:p w14:paraId="4F659786" w14:textId="6E06C98A" w:rsidR="008913FA" w:rsidRDefault="008F5F9A" w:rsidP="00102496">
      <w:pPr>
        <w:spacing w:after="80"/>
      </w:pPr>
      <w:r w:rsidRPr="00102496">
        <w:rPr>
          <w:b/>
          <w:bCs/>
          <w:color w:val="1F618D"/>
          <w:sz w:val="24"/>
          <w:szCs w:val="24"/>
        </w:rPr>
        <w:t>6.2 Eligibilitatea proiectului</w:t>
      </w:r>
    </w:p>
    <w:p w14:paraId="0772E145" w14:textId="77777777" w:rsidR="008913FA" w:rsidRDefault="008F5F9A">
      <w:pPr>
        <w:pStyle w:val="Listparagraf"/>
        <w:numPr>
          <w:ilvl w:val="0"/>
          <w:numId w:val="2"/>
        </w:numPr>
        <w:spacing w:after="80"/>
      </w:pPr>
      <w:r>
        <w:t>Proiectul trebuie să vizeze explicit domeniul violenței în familie și/sau al violenței bazate pe gen.</w:t>
      </w:r>
    </w:p>
    <w:p w14:paraId="5D38C285" w14:textId="77777777" w:rsidR="008913FA" w:rsidRDefault="008F5F9A">
      <w:pPr>
        <w:pStyle w:val="Listparagraf"/>
        <w:numPr>
          <w:ilvl w:val="0"/>
          <w:numId w:val="2"/>
        </w:numPr>
        <w:spacing w:after="80"/>
      </w:pPr>
      <w:r>
        <w:t>Activitățile propuse trebuie să fie realizabile în perioada de 6 luni de implementare.</w:t>
      </w:r>
    </w:p>
    <w:p w14:paraId="658B59D5" w14:textId="77777777" w:rsidR="008913FA" w:rsidRDefault="008F5F9A">
      <w:pPr>
        <w:pStyle w:val="Listparagraf"/>
        <w:numPr>
          <w:ilvl w:val="0"/>
          <w:numId w:val="2"/>
        </w:numPr>
        <w:spacing w:after="80"/>
      </w:pPr>
      <w:r>
        <w:t>Bugetul trebuie să respecte structura obligatorie (cel puțin 70% activități / până la 30% administrare).</w:t>
      </w:r>
    </w:p>
    <w:p w14:paraId="2E022156" w14:textId="77777777" w:rsidR="008913FA" w:rsidRDefault="008F5F9A">
      <w:pPr>
        <w:pStyle w:val="Listparagraf"/>
        <w:numPr>
          <w:ilvl w:val="0"/>
          <w:numId w:val="2"/>
        </w:numPr>
        <w:spacing w:after="80"/>
      </w:pPr>
      <w:r>
        <w:t>Proiectul trebuie să demonstreze un impact direct sau indirect pentru beneficiari din raioanele vizate.</w:t>
      </w:r>
    </w:p>
    <w:p w14:paraId="22C5BBBB" w14:textId="77777777" w:rsidR="008913FA" w:rsidRDefault="008F5F9A">
      <w:pPr>
        <w:pStyle w:val="Titlu2"/>
      </w:pPr>
      <w:r>
        <w:t>6.3 Criterii de neeligibilitate</w:t>
      </w:r>
    </w:p>
    <w:p w14:paraId="16BFC675" w14:textId="77777777" w:rsidR="008913FA" w:rsidRDefault="008F5F9A">
      <w:pPr>
        <w:spacing w:after="140"/>
        <w:jc w:val="both"/>
      </w:pPr>
      <w:r>
        <w:t>Nu sunt eligibile organizațiile care:</w:t>
      </w:r>
    </w:p>
    <w:p w14:paraId="6A84FA08" w14:textId="77777777" w:rsidR="00083536" w:rsidRDefault="00083536" w:rsidP="00083536">
      <w:pPr>
        <w:pStyle w:val="Listparagraf"/>
        <w:numPr>
          <w:ilvl w:val="0"/>
          <w:numId w:val="5"/>
        </w:numPr>
        <w:spacing w:after="80"/>
      </w:pPr>
      <w:r>
        <w:t>Nu sunt înregistrate legal în conformitate cu legislația Republicii Moldova;</w:t>
      </w:r>
    </w:p>
    <w:p w14:paraId="0A78F095" w14:textId="77777777" w:rsidR="00083536" w:rsidRDefault="00083536" w:rsidP="00083536">
      <w:pPr>
        <w:pStyle w:val="Listparagraf"/>
        <w:numPr>
          <w:ilvl w:val="0"/>
          <w:numId w:val="5"/>
        </w:numPr>
        <w:spacing w:after="80"/>
      </w:pPr>
      <w:r>
        <w:t>Sunt finanțate, afiliate sau asociate cu partide politice, organizații religioase ori campanii electorale sau au ca scop promovarea acestora;</w:t>
      </w:r>
    </w:p>
    <w:p w14:paraId="5CB23847" w14:textId="77777777" w:rsidR="00083536" w:rsidRDefault="00083536" w:rsidP="00083536">
      <w:pPr>
        <w:pStyle w:val="Listparagraf"/>
        <w:numPr>
          <w:ilvl w:val="0"/>
          <w:numId w:val="5"/>
        </w:numPr>
        <w:spacing w:after="80"/>
      </w:pPr>
      <w:r>
        <w:t>Au fost implicate în practici ilegale (inclusiv fraudă, corupție, utilizare abuzivă a fondurilor) sau sunt incluse pe liste de sancțiuni naționale ori internaționale;</w:t>
      </w:r>
    </w:p>
    <w:p w14:paraId="3C25E5D1" w14:textId="77777777" w:rsidR="00083536" w:rsidRDefault="00083536" w:rsidP="00083536">
      <w:pPr>
        <w:pStyle w:val="Listparagraf"/>
        <w:numPr>
          <w:ilvl w:val="0"/>
          <w:numId w:val="5"/>
        </w:numPr>
        <w:spacing w:after="80"/>
      </w:pPr>
      <w:r>
        <w:t>Desfășoară sau propun activități care contravin legislației în vigoare ori cerințelor programului;</w:t>
      </w:r>
    </w:p>
    <w:p w14:paraId="14EE5D98" w14:textId="77777777" w:rsidR="00083536" w:rsidRDefault="00083536" w:rsidP="00083536">
      <w:pPr>
        <w:pStyle w:val="Listparagraf"/>
        <w:numPr>
          <w:ilvl w:val="0"/>
          <w:numId w:val="5"/>
        </w:numPr>
        <w:spacing w:after="80"/>
      </w:pPr>
      <w:r>
        <w:t>Au furnizat informații false, incomplete sau înșelătoare în procesul de aplicare;</w:t>
      </w:r>
    </w:p>
    <w:p w14:paraId="17893B75" w14:textId="77777777" w:rsidR="00083536" w:rsidRDefault="00083536" w:rsidP="00083536">
      <w:pPr>
        <w:pStyle w:val="Listparagraf"/>
        <w:numPr>
          <w:ilvl w:val="0"/>
          <w:numId w:val="5"/>
        </w:numPr>
        <w:spacing w:after="80"/>
      </w:pPr>
      <w:r>
        <w:t xml:space="preserve">Propun activități care implică acordarea de </w:t>
      </w:r>
      <w:proofErr w:type="spellStart"/>
      <w:r>
        <w:t>subgranturi</w:t>
      </w:r>
      <w:proofErr w:type="spellEnd"/>
      <w:r>
        <w:t xml:space="preserve"> către terți;</w:t>
      </w:r>
    </w:p>
    <w:p w14:paraId="06BAA391" w14:textId="77777777" w:rsidR="00083536" w:rsidRDefault="00083536" w:rsidP="00083536">
      <w:pPr>
        <w:pStyle w:val="Listparagraf"/>
        <w:numPr>
          <w:ilvl w:val="0"/>
          <w:numId w:val="5"/>
        </w:numPr>
        <w:spacing w:after="80"/>
      </w:pPr>
      <w:r>
        <w:t>Propun activități care nu sunt relevante pentru obiectivele programului;</w:t>
      </w:r>
    </w:p>
    <w:p w14:paraId="136DC871" w14:textId="77777777" w:rsidR="008913FA" w:rsidRDefault="008F5F9A">
      <w:pPr>
        <w:pStyle w:val="Titlu1"/>
      </w:pPr>
      <w:r>
        <w:lastRenderedPageBreak/>
        <w:t>7. Procesul de aplicare</w:t>
      </w:r>
    </w:p>
    <w:p w14:paraId="75AF432E" w14:textId="77777777" w:rsidR="008913FA" w:rsidRDefault="008F5F9A">
      <w:pPr>
        <w:pStyle w:val="Titlu2"/>
      </w:pPr>
      <w:r>
        <w:t>7.1 Documente obligatorii</w:t>
      </w:r>
    </w:p>
    <w:p w14:paraId="5FB13B63" w14:textId="77777777" w:rsidR="008913FA" w:rsidRDefault="008F5F9A">
      <w:pPr>
        <w:spacing w:after="140"/>
        <w:jc w:val="both"/>
      </w:pPr>
      <w:r>
        <w:t>Dosarul de aplicare va cuprinde obligatoriu următoarele documente (pentru toate categoriile I, II și III, conform art. 3 din prezenții Termeni de Referință, cu excepțiile menționate):</w:t>
      </w:r>
    </w:p>
    <w:p w14:paraId="2D403296" w14:textId="77777777" w:rsidR="008913FA" w:rsidRDefault="008F5F9A">
      <w:pPr>
        <w:pStyle w:val="Listparagraf"/>
        <w:numPr>
          <w:ilvl w:val="0"/>
          <w:numId w:val="3"/>
        </w:numPr>
        <w:spacing w:after="80"/>
      </w:pPr>
      <w:r>
        <w:t>Formularul de aplicare completat (conform modelului Artemida, Anexa 1). — pentru Categoria I, II, III.</w:t>
      </w:r>
    </w:p>
    <w:p w14:paraId="12E1745E" w14:textId="6009124A" w:rsidR="008913FA" w:rsidRDefault="008F5F9A">
      <w:pPr>
        <w:pStyle w:val="Listparagraf"/>
        <w:numPr>
          <w:ilvl w:val="0"/>
          <w:numId w:val="3"/>
        </w:numPr>
        <w:spacing w:after="80"/>
      </w:pPr>
      <w:r>
        <w:t xml:space="preserve">Bugetul detaliat al proiectului (conform </w:t>
      </w:r>
      <w:r w:rsidR="00102496">
        <w:t>modelului</w:t>
      </w:r>
      <w:r>
        <w:t xml:space="preserve"> Artemida, Anexa 2). — pentru Categoria I, II, III.</w:t>
      </w:r>
    </w:p>
    <w:p w14:paraId="6E3A05C0" w14:textId="40F8C0F8" w:rsidR="008913FA" w:rsidRDefault="00102496">
      <w:pPr>
        <w:pStyle w:val="Listparagraf"/>
        <w:numPr>
          <w:ilvl w:val="0"/>
          <w:numId w:val="3"/>
        </w:numPr>
        <w:spacing w:after="80"/>
      </w:pPr>
      <w:r w:rsidRPr="00102496">
        <w:t>Statutul organizației (copie),  versiunile actualizate.</w:t>
      </w:r>
      <w:r>
        <w:t>— pentru Categoria I, II, III.</w:t>
      </w:r>
    </w:p>
    <w:p w14:paraId="42FB7B27" w14:textId="07B27482" w:rsidR="008913FA" w:rsidRDefault="00B81E6A">
      <w:pPr>
        <w:pStyle w:val="Listparagraf"/>
        <w:numPr>
          <w:ilvl w:val="0"/>
          <w:numId w:val="3"/>
        </w:numPr>
        <w:spacing w:after="80"/>
      </w:pPr>
      <w:r w:rsidRPr="00B81E6A">
        <w:t xml:space="preserve">Extrasul din Registrul de stat al persoanelor juridice (emis de ASP) </w:t>
      </w:r>
      <w:r>
        <w:t>— pentru Categoria I, II, III.</w:t>
      </w:r>
    </w:p>
    <w:p w14:paraId="44B0704B" w14:textId="77777777" w:rsidR="008913FA" w:rsidRDefault="008F5F9A">
      <w:pPr>
        <w:pStyle w:val="Listparagraf"/>
        <w:numPr>
          <w:ilvl w:val="0"/>
          <w:numId w:val="3"/>
        </w:numPr>
        <w:spacing w:after="80"/>
      </w:pPr>
      <w:r>
        <w:t>Situația financiară pe ultimul an de activitate (bilanțul contabil). — pentru Categoria I, II, III.</w:t>
      </w:r>
    </w:p>
    <w:p w14:paraId="3FD0C104" w14:textId="77777777" w:rsidR="008913FA" w:rsidRDefault="008F5F9A">
      <w:pPr>
        <w:pStyle w:val="Listparagraf"/>
        <w:numPr>
          <w:ilvl w:val="0"/>
          <w:numId w:val="3"/>
        </w:numPr>
        <w:spacing w:after="80"/>
      </w:pPr>
      <w:r>
        <w:t>Ultimul raport anual de activitate al organizației. — pentru Categoria I, II, III.</w:t>
      </w:r>
    </w:p>
    <w:p w14:paraId="46899324" w14:textId="77777777" w:rsidR="008913FA" w:rsidRDefault="008F5F9A">
      <w:pPr>
        <w:pStyle w:val="Listparagraf"/>
        <w:numPr>
          <w:ilvl w:val="0"/>
          <w:numId w:val="3"/>
        </w:numPr>
        <w:spacing w:after="80"/>
      </w:pPr>
      <w:r>
        <w:t>CV-urile coordonatorului de proiect și ale persoanelor-cheie implicate în implementare. — pentru Categoria I, II, III.</w:t>
      </w:r>
    </w:p>
    <w:p w14:paraId="26DE9A01" w14:textId="77777777" w:rsidR="008913FA" w:rsidRDefault="008F5F9A">
      <w:pPr>
        <w:pStyle w:val="Listparagraf"/>
        <w:numPr>
          <w:ilvl w:val="0"/>
          <w:numId w:val="3"/>
        </w:numPr>
        <w:spacing w:after="80"/>
      </w:pPr>
      <w:r>
        <w:t>Declarație pe proprie răspundere privind eligibilitatea organizației (Anexa Nr. 3). — pentru Categoria I, II, III.</w:t>
      </w:r>
    </w:p>
    <w:p w14:paraId="44C6EE9B" w14:textId="77777777" w:rsidR="008913FA" w:rsidRDefault="008F5F9A">
      <w:pPr>
        <w:pStyle w:val="Listparagraf"/>
        <w:numPr>
          <w:ilvl w:val="0"/>
          <w:numId w:val="3"/>
        </w:numPr>
        <w:spacing w:after="80"/>
      </w:pPr>
      <w:r>
        <w:t>Declarație pe proprie răspundere privind lipsa datoriilor față de stat (Anexa Nr. 4). — pentru Categoria I, II, III.</w:t>
      </w:r>
    </w:p>
    <w:p w14:paraId="1EBC8CC6" w14:textId="77777777" w:rsidR="008913FA" w:rsidRPr="00862168" w:rsidRDefault="008F5F9A">
      <w:pPr>
        <w:pStyle w:val="Listparagraf"/>
        <w:numPr>
          <w:ilvl w:val="0"/>
          <w:numId w:val="3"/>
        </w:numPr>
        <w:spacing w:after="80"/>
      </w:pPr>
      <w:r w:rsidRPr="00862168">
        <w:t>Ultimul raport de audit (per proiect sau organizațional) — constituie un avantaj în procesul de selecție. — pentru Categoria II, III.</w:t>
      </w:r>
    </w:p>
    <w:p w14:paraId="427140F3" w14:textId="77777777" w:rsidR="008913FA" w:rsidRDefault="008F5F9A">
      <w:pPr>
        <w:pStyle w:val="Titlu2"/>
      </w:pPr>
      <w:r>
        <w:t>7.2 Modalități de depunere</w:t>
      </w:r>
    </w:p>
    <w:p w14:paraId="0DD58CE3" w14:textId="77777777" w:rsidR="008913FA" w:rsidRDefault="008F5F9A">
      <w:pPr>
        <w:spacing w:after="140"/>
        <w:jc w:val="both"/>
      </w:pPr>
      <w:r>
        <w:t>Dosarele de aplicare pot fi depuse prin:</w:t>
      </w:r>
    </w:p>
    <w:p w14:paraId="548A9570" w14:textId="68F29C88" w:rsidR="008913FA" w:rsidRDefault="008F5F9A">
      <w:pPr>
        <w:pStyle w:val="Listparagraf"/>
        <w:numPr>
          <w:ilvl w:val="0"/>
          <w:numId w:val="2"/>
        </w:numPr>
        <w:spacing w:after="80"/>
      </w:pPr>
      <w:r>
        <w:t xml:space="preserve">E-mail la adresa: </w:t>
      </w:r>
      <w:proofErr w:type="spellStart"/>
      <w:r>
        <w:t>artemidaong@gmail.com</w:t>
      </w:r>
      <w:proofErr w:type="spellEnd"/>
      <w:r>
        <w:t xml:space="preserve">, cu subiectul: Aplicare Subgrant </w:t>
      </w:r>
      <w:r w:rsidR="000B7C1E">
        <w:t>–</w:t>
      </w:r>
      <w:r>
        <w:t xml:space="preserve"> </w:t>
      </w:r>
      <w:r w:rsidR="000B7C1E">
        <w:t>„Împreuna</w:t>
      </w:r>
      <w:r>
        <w:t xml:space="preserve"> </w:t>
      </w:r>
      <w:r w:rsidR="000B7C1E">
        <w:t>împotriva</w:t>
      </w:r>
      <w:r>
        <w:t xml:space="preserve"> violentei</w:t>
      </w:r>
      <w:r w:rsidR="000B7C1E">
        <w:t>”</w:t>
      </w:r>
      <w:r>
        <w:t>.</w:t>
      </w:r>
    </w:p>
    <w:p w14:paraId="6393D3A2" w14:textId="77777777" w:rsidR="008913FA" w:rsidRDefault="008F5F9A">
      <w:pPr>
        <w:pStyle w:val="Listparagraf"/>
        <w:numPr>
          <w:ilvl w:val="0"/>
          <w:numId w:val="2"/>
        </w:numPr>
        <w:spacing w:after="80"/>
      </w:pPr>
      <w:r>
        <w:t>Depunere fizică la sediul Artemida: or. Drochia, str. Nicolae Testemițanu 2/3, etaj 2, bloc B.</w:t>
      </w:r>
    </w:p>
    <w:p w14:paraId="392AE7E9" w14:textId="77777777" w:rsidR="008913FA" w:rsidRDefault="008F5F9A">
      <w:pPr>
        <w:spacing w:after="140"/>
        <w:jc w:val="both"/>
      </w:pPr>
      <w:proofErr w:type="spellStart"/>
      <w:r>
        <w:t>Aplicantul</w:t>
      </w:r>
      <w:proofErr w:type="spellEnd"/>
      <w:r>
        <w:t xml:space="preserve"> va primi un mesaj de confirmare a recepționării documentelor transmise în termen de maxim 2 zile lucrătoare de la depunere.</w:t>
      </w:r>
    </w:p>
    <w:p w14:paraId="7A2DE0D4" w14:textId="4CCCCF49" w:rsidR="008913FA" w:rsidRDefault="008F5F9A" w:rsidP="00465129">
      <w:pPr>
        <w:spacing w:after="140"/>
      </w:pPr>
      <w:r>
        <w:rPr>
          <w:b/>
          <w:bCs/>
          <w:color w:val="C0392B"/>
        </w:rPr>
        <w:t>Dosarele incomplete sau depuse după termenul-limită nu vor fi luate în considerare.</w:t>
      </w:r>
    </w:p>
    <w:p w14:paraId="4D17213F" w14:textId="77777777" w:rsidR="008913FA" w:rsidRDefault="008F5F9A">
      <w:pPr>
        <w:pStyle w:val="Titlu1"/>
      </w:pPr>
      <w:r>
        <w:t>8. Procesul de selecție</w:t>
      </w:r>
    </w:p>
    <w:p w14:paraId="0B634E06" w14:textId="77777777" w:rsidR="008913FA" w:rsidRDefault="008F5F9A">
      <w:pPr>
        <w:pStyle w:val="Titlu2"/>
      </w:pPr>
      <w:r>
        <w:t>8.1 Etapele procesului</w:t>
      </w:r>
    </w:p>
    <w:p w14:paraId="7BB4F160" w14:textId="77777777" w:rsidR="008913FA" w:rsidRDefault="008913F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
        <w:gridCol w:w="3200"/>
        <w:gridCol w:w="2640"/>
        <w:gridCol w:w="3000"/>
      </w:tblGrid>
      <w:tr w:rsidR="008913FA" w14:paraId="54898696" w14:textId="77777777">
        <w:trPr>
          <w:tblHeader/>
        </w:trPr>
        <w:tc>
          <w:tcPr>
            <w:tcW w:w="520" w:type="dxa"/>
            <w:tcBorders>
              <w:top w:val="single" w:sz="1" w:space="0" w:color="CCCCCC"/>
              <w:left w:val="single" w:sz="1" w:space="0" w:color="CCCCCC"/>
              <w:bottom w:val="single" w:sz="1" w:space="0" w:color="CCCCCC"/>
              <w:right w:val="single" w:sz="1" w:space="0" w:color="CCCCCC"/>
            </w:tcBorders>
            <w:shd w:val="clear" w:color="auto" w:fill="1A5276"/>
            <w:tcMar>
              <w:top w:w="80" w:type="dxa"/>
              <w:left w:w="120" w:type="dxa"/>
              <w:bottom w:w="80" w:type="dxa"/>
              <w:right w:w="120" w:type="dxa"/>
            </w:tcMar>
          </w:tcPr>
          <w:p w14:paraId="679CEEBA" w14:textId="77777777" w:rsidR="008913FA" w:rsidRDefault="008F5F9A">
            <w:r>
              <w:rPr>
                <w:b/>
                <w:bCs/>
                <w:color w:val="FFFFFF"/>
                <w:sz w:val="20"/>
                <w:szCs w:val="20"/>
              </w:rPr>
              <w:t>#</w:t>
            </w:r>
          </w:p>
        </w:tc>
        <w:tc>
          <w:tcPr>
            <w:tcW w:w="3200" w:type="dxa"/>
            <w:tcBorders>
              <w:top w:val="single" w:sz="1" w:space="0" w:color="CCCCCC"/>
              <w:left w:val="single" w:sz="1" w:space="0" w:color="CCCCCC"/>
              <w:bottom w:val="single" w:sz="1" w:space="0" w:color="CCCCCC"/>
              <w:right w:val="single" w:sz="1" w:space="0" w:color="CCCCCC"/>
            </w:tcBorders>
            <w:shd w:val="clear" w:color="auto" w:fill="1A5276"/>
            <w:tcMar>
              <w:top w:w="80" w:type="dxa"/>
              <w:left w:w="120" w:type="dxa"/>
              <w:bottom w:w="80" w:type="dxa"/>
              <w:right w:w="120" w:type="dxa"/>
            </w:tcMar>
          </w:tcPr>
          <w:p w14:paraId="0A7F4358" w14:textId="77777777" w:rsidR="008913FA" w:rsidRDefault="008F5F9A">
            <w:r>
              <w:rPr>
                <w:b/>
                <w:bCs/>
                <w:color w:val="FFFFFF"/>
                <w:sz w:val="20"/>
                <w:szCs w:val="20"/>
              </w:rPr>
              <w:t>Activitate</w:t>
            </w:r>
          </w:p>
        </w:tc>
        <w:tc>
          <w:tcPr>
            <w:tcW w:w="2640" w:type="dxa"/>
            <w:tcBorders>
              <w:top w:val="single" w:sz="1" w:space="0" w:color="CCCCCC"/>
              <w:left w:val="single" w:sz="1" w:space="0" w:color="CCCCCC"/>
              <w:bottom w:val="single" w:sz="1" w:space="0" w:color="CCCCCC"/>
              <w:right w:val="single" w:sz="1" w:space="0" w:color="CCCCCC"/>
            </w:tcBorders>
            <w:shd w:val="clear" w:color="auto" w:fill="1A5276"/>
            <w:tcMar>
              <w:top w:w="80" w:type="dxa"/>
              <w:left w:w="120" w:type="dxa"/>
              <w:bottom w:w="80" w:type="dxa"/>
              <w:right w:w="120" w:type="dxa"/>
            </w:tcMar>
          </w:tcPr>
          <w:p w14:paraId="4F473E6A" w14:textId="77777777" w:rsidR="008913FA" w:rsidRDefault="008F5F9A">
            <w:r>
              <w:rPr>
                <w:b/>
                <w:bCs/>
                <w:color w:val="FFFFFF"/>
                <w:sz w:val="20"/>
                <w:szCs w:val="20"/>
              </w:rPr>
              <w:t>Termen</w:t>
            </w:r>
          </w:p>
        </w:tc>
        <w:tc>
          <w:tcPr>
            <w:tcW w:w="3000" w:type="dxa"/>
            <w:tcBorders>
              <w:top w:val="single" w:sz="1" w:space="0" w:color="CCCCCC"/>
              <w:left w:val="single" w:sz="1" w:space="0" w:color="CCCCCC"/>
              <w:bottom w:val="single" w:sz="1" w:space="0" w:color="CCCCCC"/>
              <w:right w:val="single" w:sz="1" w:space="0" w:color="CCCCCC"/>
            </w:tcBorders>
            <w:shd w:val="clear" w:color="auto" w:fill="1A5276"/>
            <w:tcMar>
              <w:top w:w="80" w:type="dxa"/>
              <w:left w:w="120" w:type="dxa"/>
              <w:bottom w:w="80" w:type="dxa"/>
              <w:right w:w="120" w:type="dxa"/>
            </w:tcMar>
          </w:tcPr>
          <w:p w14:paraId="7B32523A" w14:textId="77777777" w:rsidR="008913FA" w:rsidRDefault="008F5F9A">
            <w:r>
              <w:rPr>
                <w:b/>
                <w:bCs/>
                <w:color w:val="FFFFFF"/>
                <w:sz w:val="20"/>
                <w:szCs w:val="20"/>
              </w:rPr>
              <w:t>Responsabil</w:t>
            </w:r>
          </w:p>
        </w:tc>
      </w:tr>
      <w:tr w:rsidR="008913FA" w14:paraId="6851A26B" w14:textId="77777777">
        <w:tc>
          <w:tcPr>
            <w:tcW w:w="52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3AFD0AB9" w14:textId="77777777" w:rsidR="008913FA" w:rsidRDefault="008F5F9A">
            <w:r>
              <w:rPr>
                <w:b/>
                <w:bCs/>
                <w:color w:val="000000"/>
                <w:sz w:val="20"/>
                <w:szCs w:val="20"/>
              </w:rPr>
              <w:t>1</w:t>
            </w:r>
          </w:p>
        </w:tc>
        <w:tc>
          <w:tcPr>
            <w:tcW w:w="320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18913A12" w14:textId="77777777" w:rsidR="008913FA" w:rsidRDefault="008F5F9A">
            <w:r>
              <w:rPr>
                <w:color w:val="000000"/>
                <w:sz w:val="20"/>
                <w:szCs w:val="20"/>
              </w:rPr>
              <w:t>Lansarea apelului de propuneri</w:t>
            </w:r>
          </w:p>
        </w:tc>
        <w:tc>
          <w:tcPr>
            <w:tcW w:w="264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166D765F" w14:textId="77777777" w:rsidR="008913FA" w:rsidRDefault="008F5F9A">
            <w:r>
              <w:rPr>
                <w:color w:val="000000"/>
                <w:sz w:val="20"/>
                <w:szCs w:val="20"/>
              </w:rPr>
              <w:t>20 aprilie – 30 aprilie 2026</w:t>
            </w:r>
          </w:p>
        </w:tc>
        <w:tc>
          <w:tcPr>
            <w:tcW w:w="300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0062C5F9" w14:textId="77777777" w:rsidR="008913FA" w:rsidRDefault="008F5F9A">
            <w:r>
              <w:rPr>
                <w:color w:val="000000"/>
                <w:sz w:val="20"/>
                <w:szCs w:val="20"/>
              </w:rPr>
              <w:t>Echipa Artemida</w:t>
            </w:r>
          </w:p>
        </w:tc>
      </w:tr>
      <w:tr w:rsidR="008913FA" w14:paraId="24D78C5C" w14:textId="77777777">
        <w:tc>
          <w:tcPr>
            <w:tcW w:w="5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ED0CF39" w14:textId="77777777" w:rsidR="008913FA" w:rsidRDefault="008F5F9A">
            <w:r>
              <w:rPr>
                <w:b/>
                <w:bCs/>
                <w:color w:val="000000"/>
                <w:sz w:val="20"/>
                <w:szCs w:val="20"/>
              </w:rPr>
              <w:t>2</w:t>
            </w:r>
          </w:p>
        </w:tc>
        <w:tc>
          <w:tcPr>
            <w:tcW w:w="32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4BAA723B" w14:textId="0AC2B5F3" w:rsidR="008913FA" w:rsidRDefault="00465129">
            <w:r>
              <w:rPr>
                <w:color w:val="000000"/>
                <w:sz w:val="20"/>
                <w:szCs w:val="20"/>
              </w:rPr>
              <w:t xml:space="preserve">Întrebările pot fi adresate la: </w:t>
            </w:r>
            <w:proofErr w:type="spellStart"/>
            <w:r>
              <w:rPr>
                <w:color w:val="000000"/>
                <w:sz w:val="20"/>
                <w:szCs w:val="20"/>
              </w:rPr>
              <w:t>artemidaong@gmail.com</w:t>
            </w:r>
            <w:proofErr w:type="spellEnd"/>
            <w:r>
              <w:rPr>
                <w:color w:val="000000"/>
                <w:sz w:val="20"/>
                <w:szCs w:val="20"/>
              </w:rPr>
              <w:t xml:space="preserve">. </w:t>
            </w:r>
            <w:r w:rsidR="00862168">
              <w:rPr>
                <w:color w:val="000000"/>
                <w:sz w:val="20"/>
                <w:szCs w:val="20"/>
              </w:rPr>
              <w:t>Răspunsurile</w:t>
            </w:r>
            <w:r>
              <w:rPr>
                <w:color w:val="000000"/>
                <w:sz w:val="20"/>
                <w:szCs w:val="20"/>
              </w:rPr>
              <w:t xml:space="preserve"> vor fi oferite in termenul indicata.</w:t>
            </w:r>
          </w:p>
        </w:tc>
        <w:tc>
          <w:tcPr>
            <w:tcW w:w="264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64ED27EF" w14:textId="77777777" w:rsidR="008913FA" w:rsidRDefault="008F5F9A">
            <w:r>
              <w:rPr>
                <w:color w:val="000000"/>
                <w:sz w:val="20"/>
                <w:szCs w:val="20"/>
              </w:rPr>
              <w:t>20 aprilie – 30 aprilie 2026</w:t>
            </w:r>
          </w:p>
        </w:tc>
        <w:tc>
          <w:tcPr>
            <w:tcW w:w="30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7921E83E" w14:textId="77777777" w:rsidR="008913FA" w:rsidRDefault="008F5F9A">
            <w:r>
              <w:rPr>
                <w:color w:val="000000"/>
                <w:sz w:val="20"/>
                <w:szCs w:val="20"/>
              </w:rPr>
              <w:t>Echipa Artemida</w:t>
            </w:r>
          </w:p>
        </w:tc>
      </w:tr>
      <w:tr w:rsidR="008913FA" w14:paraId="1CF5AEAD" w14:textId="77777777">
        <w:tc>
          <w:tcPr>
            <w:tcW w:w="52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7C306662" w14:textId="77777777" w:rsidR="008913FA" w:rsidRDefault="008F5F9A">
            <w:r>
              <w:rPr>
                <w:b/>
                <w:bCs/>
                <w:color w:val="000000"/>
                <w:sz w:val="20"/>
                <w:szCs w:val="20"/>
              </w:rPr>
              <w:lastRenderedPageBreak/>
              <w:t>3</w:t>
            </w:r>
          </w:p>
        </w:tc>
        <w:tc>
          <w:tcPr>
            <w:tcW w:w="320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67D4A9F2" w14:textId="77777777" w:rsidR="008913FA" w:rsidRDefault="008F5F9A">
            <w:r>
              <w:rPr>
                <w:color w:val="000000"/>
                <w:sz w:val="20"/>
                <w:szCs w:val="20"/>
              </w:rPr>
              <w:t>Termen-limita de depunere a dosarelor</w:t>
            </w:r>
          </w:p>
        </w:tc>
        <w:tc>
          <w:tcPr>
            <w:tcW w:w="264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64889BED" w14:textId="77777777" w:rsidR="008913FA" w:rsidRDefault="008F5F9A">
            <w:r>
              <w:rPr>
                <w:color w:val="000000"/>
                <w:sz w:val="20"/>
                <w:szCs w:val="20"/>
              </w:rPr>
              <w:t>30 aprilie 2026, ora 24:00</w:t>
            </w:r>
          </w:p>
        </w:tc>
        <w:tc>
          <w:tcPr>
            <w:tcW w:w="300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67D2CC54" w14:textId="77777777" w:rsidR="008913FA" w:rsidRDefault="008F5F9A">
            <w:proofErr w:type="spellStart"/>
            <w:r>
              <w:rPr>
                <w:color w:val="000000"/>
                <w:sz w:val="20"/>
                <w:szCs w:val="20"/>
              </w:rPr>
              <w:t>Aplicanti</w:t>
            </w:r>
            <w:proofErr w:type="spellEnd"/>
          </w:p>
        </w:tc>
      </w:tr>
      <w:tr w:rsidR="008913FA" w14:paraId="078F6C68" w14:textId="77777777">
        <w:tc>
          <w:tcPr>
            <w:tcW w:w="5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83AD580" w14:textId="77777777" w:rsidR="008913FA" w:rsidRDefault="008F5F9A">
            <w:r>
              <w:rPr>
                <w:b/>
                <w:bCs/>
                <w:color w:val="000000"/>
                <w:sz w:val="20"/>
                <w:szCs w:val="20"/>
              </w:rPr>
              <w:t>4</w:t>
            </w:r>
          </w:p>
        </w:tc>
        <w:tc>
          <w:tcPr>
            <w:tcW w:w="32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241D6140" w14:textId="77777777" w:rsidR="008913FA" w:rsidRDefault="008F5F9A">
            <w:r>
              <w:rPr>
                <w:color w:val="000000"/>
                <w:sz w:val="20"/>
                <w:szCs w:val="20"/>
              </w:rPr>
              <w:t>Evaluarea administrativa, tehnica si financiara a dosarelor</w:t>
            </w:r>
          </w:p>
        </w:tc>
        <w:tc>
          <w:tcPr>
            <w:tcW w:w="264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6288E3F" w14:textId="77777777" w:rsidR="008913FA" w:rsidRDefault="008F5F9A">
            <w:r>
              <w:rPr>
                <w:color w:val="000000"/>
                <w:sz w:val="20"/>
                <w:szCs w:val="20"/>
              </w:rPr>
              <w:t>01 mai – 20 mai 2026</w:t>
            </w:r>
          </w:p>
        </w:tc>
        <w:tc>
          <w:tcPr>
            <w:tcW w:w="30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2CE5D0FE" w14:textId="77777777" w:rsidR="008913FA" w:rsidRDefault="008F5F9A">
            <w:r>
              <w:rPr>
                <w:color w:val="000000"/>
                <w:sz w:val="20"/>
                <w:szCs w:val="20"/>
              </w:rPr>
              <w:t>Comisie de evaluare</w:t>
            </w:r>
          </w:p>
        </w:tc>
      </w:tr>
      <w:tr w:rsidR="008913FA" w14:paraId="567979F9" w14:textId="77777777">
        <w:tc>
          <w:tcPr>
            <w:tcW w:w="52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243E73E0" w14:textId="77777777" w:rsidR="008913FA" w:rsidRDefault="008F5F9A">
            <w:r>
              <w:rPr>
                <w:b/>
                <w:bCs/>
                <w:color w:val="000000"/>
                <w:sz w:val="20"/>
                <w:szCs w:val="20"/>
              </w:rPr>
              <w:t>5</w:t>
            </w:r>
          </w:p>
        </w:tc>
        <w:tc>
          <w:tcPr>
            <w:tcW w:w="320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0AF024A8" w14:textId="2FA8FA41" w:rsidR="008913FA" w:rsidRDefault="00046524">
            <w:r>
              <w:rPr>
                <w:color w:val="000000"/>
                <w:sz w:val="20"/>
                <w:szCs w:val="20"/>
              </w:rPr>
              <w:t>Anunțarea rezultatelor finale</w:t>
            </w:r>
          </w:p>
        </w:tc>
        <w:tc>
          <w:tcPr>
            <w:tcW w:w="264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39BAF110" w14:textId="77777777" w:rsidR="008913FA" w:rsidRDefault="008F5F9A">
            <w:r>
              <w:rPr>
                <w:color w:val="000000"/>
                <w:sz w:val="20"/>
                <w:szCs w:val="20"/>
              </w:rPr>
              <w:t>20 mai – 25 mai 2026</w:t>
            </w:r>
          </w:p>
        </w:tc>
        <w:tc>
          <w:tcPr>
            <w:tcW w:w="300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53BEB6D9" w14:textId="77777777" w:rsidR="008913FA" w:rsidRDefault="008F5F9A">
            <w:r>
              <w:rPr>
                <w:color w:val="000000"/>
                <w:sz w:val="20"/>
                <w:szCs w:val="20"/>
              </w:rPr>
              <w:t>Artemida</w:t>
            </w:r>
          </w:p>
        </w:tc>
      </w:tr>
      <w:tr w:rsidR="008913FA" w14:paraId="5DE9479B" w14:textId="77777777">
        <w:tc>
          <w:tcPr>
            <w:tcW w:w="5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0D4928D1" w14:textId="77777777" w:rsidR="008913FA" w:rsidRDefault="008F5F9A">
            <w:r>
              <w:rPr>
                <w:b/>
                <w:bCs/>
                <w:color w:val="000000"/>
                <w:sz w:val="20"/>
                <w:szCs w:val="20"/>
              </w:rPr>
              <w:t>6</w:t>
            </w:r>
          </w:p>
        </w:tc>
        <w:tc>
          <w:tcPr>
            <w:tcW w:w="32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4AAF87DB" w14:textId="77777777" w:rsidR="008913FA" w:rsidRDefault="008F5F9A">
            <w:r>
              <w:rPr>
                <w:color w:val="000000"/>
                <w:sz w:val="20"/>
                <w:szCs w:val="20"/>
              </w:rPr>
              <w:t>Semnarea contractelor de subgrant</w:t>
            </w:r>
          </w:p>
        </w:tc>
        <w:tc>
          <w:tcPr>
            <w:tcW w:w="264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4AFBC3A9" w14:textId="77777777" w:rsidR="008913FA" w:rsidRDefault="008F5F9A">
            <w:r>
              <w:rPr>
                <w:color w:val="000000"/>
                <w:sz w:val="20"/>
                <w:szCs w:val="20"/>
              </w:rPr>
              <w:t>25 – 29 mai 2026</w:t>
            </w:r>
          </w:p>
        </w:tc>
        <w:tc>
          <w:tcPr>
            <w:tcW w:w="30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378E01D6" w14:textId="77777777" w:rsidR="008913FA" w:rsidRDefault="008F5F9A">
            <w:r>
              <w:rPr>
                <w:color w:val="000000"/>
                <w:sz w:val="20"/>
                <w:szCs w:val="20"/>
              </w:rPr>
              <w:t>Artemida + Beneficiari de subgrant</w:t>
            </w:r>
          </w:p>
        </w:tc>
      </w:tr>
      <w:tr w:rsidR="008913FA" w14:paraId="1CB62D2A" w14:textId="77777777">
        <w:tc>
          <w:tcPr>
            <w:tcW w:w="52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596CEF7B" w14:textId="77777777" w:rsidR="008913FA" w:rsidRDefault="008F5F9A">
            <w:r>
              <w:rPr>
                <w:b/>
                <w:bCs/>
                <w:color w:val="000000"/>
                <w:sz w:val="20"/>
                <w:szCs w:val="20"/>
              </w:rPr>
              <w:t>7</w:t>
            </w:r>
          </w:p>
        </w:tc>
        <w:tc>
          <w:tcPr>
            <w:tcW w:w="320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432C2A49" w14:textId="77777777" w:rsidR="008913FA" w:rsidRDefault="008F5F9A">
            <w:r>
              <w:rPr>
                <w:color w:val="000000"/>
                <w:sz w:val="20"/>
                <w:szCs w:val="20"/>
              </w:rPr>
              <w:t>Implementarea proiectelor</w:t>
            </w:r>
          </w:p>
        </w:tc>
        <w:tc>
          <w:tcPr>
            <w:tcW w:w="264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105EFBE1" w14:textId="77777777" w:rsidR="008913FA" w:rsidRDefault="008F5F9A">
            <w:r>
              <w:rPr>
                <w:color w:val="000000"/>
                <w:sz w:val="20"/>
                <w:szCs w:val="20"/>
              </w:rPr>
              <w:t>01 iunie – 30 noiembrie 2026</w:t>
            </w:r>
          </w:p>
        </w:tc>
        <w:tc>
          <w:tcPr>
            <w:tcW w:w="300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26F1938C" w14:textId="77777777" w:rsidR="008913FA" w:rsidRDefault="008F5F9A">
            <w:r>
              <w:rPr>
                <w:color w:val="000000"/>
                <w:sz w:val="20"/>
                <w:szCs w:val="20"/>
              </w:rPr>
              <w:t>Beneficiari de subgrant</w:t>
            </w:r>
          </w:p>
        </w:tc>
      </w:tr>
    </w:tbl>
    <w:p w14:paraId="13EF6CCB" w14:textId="77777777" w:rsidR="008913FA" w:rsidRDefault="008913FA"/>
    <w:p w14:paraId="632D54A0" w14:textId="77777777" w:rsidR="008913FA" w:rsidRDefault="008F5F9A">
      <w:pPr>
        <w:pStyle w:val="Titlu2"/>
      </w:pPr>
      <w:r>
        <w:t>8.2 Grila de evaluare</w:t>
      </w:r>
    </w:p>
    <w:p w14:paraId="5D1476C2" w14:textId="77777777" w:rsidR="008913FA" w:rsidRDefault="008F5F9A">
      <w:pPr>
        <w:spacing w:after="140"/>
        <w:jc w:val="both"/>
      </w:pPr>
      <w:r>
        <w:t>Propunerile de proiect vor fi evaluate pe baza unei grile de punctaj cu un total de 100 de puncte, distribuite după cum urmează:</w:t>
      </w:r>
    </w:p>
    <w:p w14:paraId="751CDB3F" w14:textId="77777777" w:rsidR="008913FA" w:rsidRDefault="008F5F9A">
      <w:pPr>
        <w:pStyle w:val="Listparagraf"/>
        <w:numPr>
          <w:ilvl w:val="0"/>
          <w:numId w:val="2"/>
        </w:numPr>
        <w:spacing w:after="80"/>
      </w:pPr>
      <w:r>
        <w:t xml:space="preserve">Relevanța și claritatea problemei abordate față de tema </w:t>
      </w:r>
      <w:proofErr w:type="spellStart"/>
      <w:r>
        <w:t>VF</w:t>
      </w:r>
      <w:proofErr w:type="spellEnd"/>
      <w:r>
        <w:t>/</w:t>
      </w:r>
      <w:proofErr w:type="spellStart"/>
      <w:r>
        <w:t>VBG</w:t>
      </w:r>
      <w:proofErr w:type="spellEnd"/>
      <w:r>
        <w:t>: 20 puncte.</w:t>
      </w:r>
    </w:p>
    <w:p w14:paraId="6F13F9DE" w14:textId="77777777" w:rsidR="008913FA" w:rsidRDefault="008F5F9A">
      <w:pPr>
        <w:pStyle w:val="Listparagraf"/>
        <w:numPr>
          <w:ilvl w:val="0"/>
          <w:numId w:val="2"/>
        </w:numPr>
        <w:spacing w:after="80"/>
      </w:pPr>
      <w:r>
        <w:t>Calitatea obiectivelor, activităților și rezultatelor propuse: 25 puncte.</w:t>
      </w:r>
    </w:p>
    <w:p w14:paraId="6C65AEC2" w14:textId="77777777" w:rsidR="008913FA" w:rsidRDefault="008F5F9A">
      <w:pPr>
        <w:pStyle w:val="Listparagraf"/>
        <w:numPr>
          <w:ilvl w:val="0"/>
          <w:numId w:val="2"/>
        </w:numPr>
        <w:spacing w:after="80"/>
      </w:pPr>
      <w:r>
        <w:t>Metodologia și planul de lucru detaliat: 15 puncte.</w:t>
      </w:r>
    </w:p>
    <w:p w14:paraId="13EE4516" w14:textId="77777777" w:rsidR="008913FA" w:rsidRDefault="008F5F9A">
      <w:pPr>
        <w:pStyle w:val="Listparagraf"/>
        <w:numPr>
          <w:ilvl w:val="0"/>
          <w:numId w:val="2"/>
        </w:numPr>
        <w:spacing w:after="80"/>
      </w:pPr>
      <w:r>
        <w:t>Realismul și corectitudinea bugetului propus: 20 puncte.</w:t>
      </w:r>
    </w:p>
    <w:p w14:paraId="36DD132B" w14:textId="77777777" w:rsidR="008913FA" w:rsidRDefault="008F5F9A">
      <w:pPr>
        <w:pStyle w:val="Listparagraf"/>
        <w:numPr>
          <w:ilvl w:val="0"/>
          <w:numId w:val="2"/>
        </w:numPr>
        <w:spacing w:after="80"/>
      </w:pPr>
      <w:r>
        <w:t>Capacitatea organizației (experiență, echipă, resurse): 10 puncte.</w:t>
      </w:r>
    </w:p>
    <w:p w14:paraId="5A35189C" w14:textId="77777777" w:rsidR="008913FA" w:rsidRDefault="008F5F9A">
      <w:pPr>
        <w:pStyle w:val="Listparagraf"/>
        <w:numPr>
          <w:ilvl w:val="0"/>
          <w:numId w:val="2"/>
        </w:numPr>
        <w:spacing w:after="80"/>
      </w:pPr>
      <w:r>
        <w:t>Durabilitatea și potențialul de multiplicare a impactului: 10 puncte.</w:t>
      </w:r>
    </w:p>
    <w:p w14:paraId="41FDF728" w14:textId="77777777" w:rsidR="008913FA" w:rsidRDefault="008F5F9A">
      <w:pPr>
        <w:spacing w:after="80"/>
      </w:pPr>
      <w:r>
        <w:rPr>
          <w:b/>
          <w:bCs/>
        </w:rPr>
        <w:t>Pragul minim de calificare: 70 de puncte.</w:t>
      </w:r>
    </w:p>
    <w:p w14:paraId="46FF953E" w14:textId="77777777" w:rsidR="008913FA" w:rsidRDefault="008F5F9A">
      <w:pPr>
        <w:pStyle w:val="Titlu2"/>
      </w:pPr>
      <w:r>
        <w:t>8.3 Comisia de evaluare</w:t>
      </w:r>
    </w:p>
    <w:p w14:paraId="560D51F3" w14:textId="77777777" w:rsidR="008913FA" w:rsidRDefault="008F5F9A" w:rsidP="00EF2063">
      <w:pPr>
        <w:jc w:val="both"/>
      </w:pPr>
      <w:r>
        <w:t>Comisia de evaluare va fi formată din 3 sau 5 membri, incluzând:</w:t>
      </w:r>
    </w:p>
    <w:p w14:paraId="580DBCBB" w14:textId="04A733C8" w:rsidR="008913FA" w:rsidRDefault="008F5F9A" w:rsidP="00EF2063">
      <w:pPr>
        <w:pStyle w:val="Listparagraf"/>
        <w:numPr>
          <w:ilvl w:val="0"/>
          <w:numId w:val="2"/>
        </w:numPr>
      </w:pPr>
      <w:r>
        <w:t xml:space="preserve">Reprezentanții </w:t>
      </w:r>
      <w:proofErr w:type="spellStart"/>
      <w:r w:rsidR="006F396A">
        <w:t>AO</w:t>
      </w:r>
      <w:proofErr w:type="spellEnd"/>
      <w:r w:rsidR="006F396A">
        <w:t xml:space="preserve"> </w:t>
      </w:r>
      <w:r>
        <w:t>Artemida</w:t>
      </w:r>
    </w:p>
    <w:p w14:paraId="220E2987" w14:textId="77777777" w:rsidR="008913FA" w:rsidRDefault="008F5F9A" w:rsidP="00EF2063">
      <w:pPr>
        <w:pStyle w:val="Listparagraf"/>
        <w:numPr>
          <w:ilvl w:val="0"/>
          <w:numId w:val="2"/>
        </w:numPr>
      </w:pPr>
      <w:r>
        <w:t xml:space="preserve">Experți independenți în domeniul </w:t>
      </w:r>
      <w:proofErr w:type="spellStart"/>
      <w:r>
        <w:t>VF</w:t>
      </w:r>
      <w:proofErr w:type="spellEnd"/>
      <w:r>
        <w:t>/</w:t>
      </w:r>
      <w:proofErr w:type="spellStart"/>
      <w:r>
        <w:t>VBG</w:t>
      </w:r>
      <w:proofErr w:type="spellEnd"/>
      <w:r>
        <w:t xml:space="preserve"> (dacă este cazul).</w:t>
      </w:r>
    </w:p>
    <w:p w14:paraId="145BE07C" w14:textId="77777777" w:rsidR="008913FA" w:rsidRDefault="008F5F9A" w:rsidP="00EF2063">
      <w:pPr>
        <w:pStyle w:val="Listparagraf"/>
        <w:numPr>
          <w:ilvl w:val="0"/>
          <w:numId w:val="2"/>
        </w:numPr>
      </w:pPr>
      <w:r>
        <w:t>Un reprezentant al partenerilor/finanțatorilor programului (dacă este cazul).</w:t>
      </w:r>
    </w:p>
    <w:p w14:paraId="0BE76063" w14:textId="58E2DC22" w:rsidR="008913FA" w:rsidRDefault="008F5F9A" w:rsidP="00EF2063">
      <w:pPr>
        <w:spacing w:after="140"/>
      </w:pPr>
      <w:r>
        <w:rPr>
          <w:i/>
          <w:iCs/>
          <w:color w:val="555555"/>
        </w:rPr>
        <w:t>Membrii Comisiei</w:t>
      </w:r>
      <w:r w:rsidR="006F396A">
        <w:rPr>
          <w:i/>
          <w:iCs/>
          <w:color w:val="555555"/>
        </w:rPr>
        <w:t xml:space="preserve"> de Evaluare</w:t>
      </w:r>
      <w:r>
        <w:rPr>
          <w:i/>
          <w:iCs/>
          <w:color w:val="555555"/>
        </w:rPr>
        <w:t xml:space="preserve"> vor semna declarați</w:t>
      </w:r>
      <w:r w:rsidR="006F396A">
        <w:rPr>
          <w:i/>
          <w:iCs/>
          <w:color w:val="555555"/>
        </w:rPr>
        <w:t>a</w:t>
      </w:r>
      <w:r>
        <w:rPr>
          <w:i/>
          <w:iCs/>
          <w:color w:val="555555"/>
        </w:rPr>
        <w:t xml:space="preserve"> de confidențialitate și de absență a conflictului de interese înaintea evaluării.</w:t>
      </w:r>
      <w:r w:rsidR="006F396A" w:rsidRPr="006F396A">
        <w:t xml:space="preserve"> </w:t>
      </w:r>
      <w:r w:rsidR="006F396A" w:rsidRPr="006F396A">
        <w:rPr>
          <w:i/>
          <w:iCs/>
          <w:color w:val="555555"/>
        </w:rPr>
        <w:t>(Anexa 5).</w:t>
      </w:r>
    </w:p>
    <w:p w14:paraId="46697847" w14:textId="77777777" w:rsidR="008913FA" w:rsidRDefault="008F5F9A">
      <w:pPr>
        <w:pStyle w:val="Titlu1"/>
      </w:pPr>
      <w:r>
        <w:t>9. Mecanismul de finanțare – Tranșe de plată</w:t>
      </w:r>
    </w:p>
    <w:p w14:paraId="1C35A9F3" w14:textId="1B43186D" w:rsidR="008913FA" w:rsidRDefault="008F5F9A" w:rsidP="00EF2063">
      <w:pPr>
        <w:spacing w:after="140"/>
      </w:pPr>
      <w:r>
        <w:t>Finanțarea aprobată va fi acordată în două tranșe, conform următorului mecanism: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2340"/>
        <w:gridCol w:w="2340"/>
        <w:gridCol w:w="3120"/>
      </w:tblGrid>
      <w:tr w:rsidR="008913FA" w14:paraId="07BF7174" w14:textId="77777777">
        <w:trPr>
          <w:tblHeader/>
        </w:trPr>
        <w:tc>
          <w:tcPr>
            <w:tcW w:w="1560" w:type="dxa"/>
            <w:tcBorders>
              <w:top w:val="single" w:sz="1" w:space="0" w:color="CCCCCC"/>
              <w:left w:val="single" w:sz="1" w:space="0" w:color="CCCCCC"/>
              <w:bottom w:val="single" w:sz="1" w:space="0" w:color="CCCCCC"/>
              <w:right w:val="single" w:sz="1" w:space="0" w:color="CCCCCC"/>
            </w:tcBorders>
            <w:shd w:val="clear" w:color="auto" w:fill="1A5276"/>
            <w:tcMar>
              <w:top w:w="100" w:type="dxa"/>
              <w:left w:w="140" w:type="dxa"/>
              <w:bottom w:w="100" w:type="dxa"/>
              <w:right w:w="140" w:type="dxa"/>
            </w:tcMar>
            <w:vAlign w:val="center"/>
          </w:tcPr>
          <w:p w14:paraId="51C59AF4" w14:textId="77777777" w:rsidR="008913FA" w:rsidRDefault="008F5F9A">
            <w:r>
              <w:rPr>
                <w:b/>
                <w:bCs/>
                <w:color w:val="FFFFFF"/>
                <w:sz w:val="20"/>
                <w:szCs w:val="20"/>
              </w:rPr>
              <w:t>Tranșa</w:t>
            </w:r>
          </w:p>
        </w:tc>
        <w:tc>
          <w:tcPr>
            <w:tcW w:w="2340" w:type="dxa"/>
            <w:tcBorders>
              <w:top w:val="single" w:sz="1" w:space="0" w:color="CCCCCC"/>
              <w:left w:val="single" w:sz="1" w:space="0" w:color="CCCCCC"/>
              <w:bottom w:val="single" w:sz="1" w:space="0" w:color="CCCCCC"/>
              <w:right w:val="single" w:sz="1" w:space="0" w:color="CCCCCC"/>
            </w:tcBorders>
            <w:shd w:val="clear" w:color="auto" w:fill="1A5276"/>
            <w:tcMar>
              <w:top w:w="100" w:type="dxa"/>
              <w:left w:w="140" w:type="dxa"/>
              <w:bottom w:w="100" w:type="dxa"/>
              <w:right w:w="140" w:type="dxa"/>
            </w:tcMar>
            <w:vAlign w:val="center"/>
          </w:tcPr>
          <w:p w14:paraId="24D66E04" w14:textId="77777777" w:rsidR="008913FA" w:rsidRDefault="008F5F9A">
            <w:r>
              <w:rPr>
                <w:b/>
                <w:bCs/>
                <w:color w:val="FFFFFF"/>
                <w:sz w:val="20"/>
                <w:szCs w:val="20"/>
              </w:rPr>
              <w:t>Perioada</w:t>
            </w:r>
          </w:p>
        </w:tc>
        <w:tc>
          <w:tcPr>
            <w:tcW w:w="2340" w:type="dxa"/>
            <w:tcBorders>
              <w:top w:val="single" w:sz="1" w:space="0" w:color="CCCCCC"/>
              <w:left w:val="single" w:sz="1" w:space="0" w:color="CCCCCC"/>
              <w:bottom w:val="single" w:sz="1" w:space="0" w:color="CCCCCC"/>
              <w:right w:val="single" w:sz="1" w:space="0" w:color="CCCCCC"/>
            </w:tcBorders>
            <w:shd w:val="clear" w:color="auto" w:fill="1A5276"/>
            <w:tcMar>
              <w:top w:w="100" w:type="dxa"/>
              <w:left w:w="140" w:type="dxa"/>
              <w:bottom w:w="100" w:type="dxa"/>
              <w:right w:w="140" w:type="dxa"/>
            </w:tcMar>
            <w:vAlign w:val="center"/>
          </w:tcPr>
          <w:p w14:paraId="51474E18" w14:textId="77777777" w:rsidR="008913FA" w:rsidRDefault="008F5F9A">
            <w:r>
              <w:rPr>
                <w:b/>
                <w:bCs/>
                <w:color w:val="FFFFFF"/>
                <w:sz w:val="20"/>
                <w:szCs w:val="20"/>
              </w:rPr>
              <w:t>Cuantum</w:t>
            </w:r>
          </w:p>
        </w:tc>
        <w:tc>
          <w:tcPr>
            <w:tcW w:w="3120" w:type="dxa"/>
            <w:tcBorders>
              <w:top w:val="single" w:sz="1" w:space="0" w:color="CCCCCC"/>
              <w:left w:val="single" w:sz="1" w:space="0" w:color="CCCCCC"/>
              <w:bottom w:val="single" w:sz="1" w:space="0" w:color="CCCCCC"/>
              <w:right w:val="single" w:sz="1" w:space="0" w:color="CCCCCC"/>
            </w:tcBorders>
            <w:shd w:val="clear" w:color="auto" w:fill="1A5276"/>
            <w:tcMar>
              <w:top w:w="100" w:type="dxa"/>
              <w:left w:w="140" w:type="dxa"/>
              <w:bottom w:w="100" w:type="dxa"/>
              <w:right w:w="140" w:type="dxa"/>
            </w:tcMar>
            <w:vAlign w:val="center"/>
          </w:tcPr>
          <w:p w14:paraId="378BC2DD" w14:textId="77777777" w:rsidR="008913FA" w:rsidRDefault="008F5F9A">
            <w:r>
              <w:rPr>
                <w:b/>
                <w:bCs/>
                <w:color w:val="FFFFFF"/>
                <w:sz w:val="20"/>
                <w:szCs w:val="20"/>
              </w:rPr>
              <w:t>Condiție</w:t>
            </w:r>
          </w:p>
        </w:tc>
      </w:tr>
      <w:tr w:rsidR="008913FA" w14:paraId="478FC279" w14:textId="77777777">
        <w:tc>
          <w:tcPr>
            <w:tcW w:w="156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40" w:type="dxa"/>
              <w:bottom w:w="100" w:type="dxa"/>
              <w:right w:w="140" w:type="dxa"/>
            </w:tcMar>
            <w:vAlign w:val="center"/>
          </w:tcPr>
          <w:p w14:paraId="56702876" w14:textId="77777777" w:rsidR="008913FA" w:rsidRDefault="008F5F9A">
            <w:r>
              <w:rPr>
                <w:b/>
                <w:bCs/>
                <w:color w:val="000000"/>
                <w:sz w:val="20"/>
                <w:szCs w:val="20"/>
              </w:rPr>
              <w:t>Tranșa I</w:t>
            </w:r>
          </w:p>
        </w:tc>
        <w:tc>
          <w:tcPr>
            <w:tcW w:w="234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40" w:type="dxa"/>
              <w:bottom w:w="100" w:type="dxa"/>
              <w:right w:w="140" w:type="dxa"/>
            </w:tcMar>
            <w:vAlign w:val="center"/>
          </w:tcPr>
          <w:p w14:paraId="27CD0EFC" w14:textId="77777777" w:rsidR="008913FA" w:rsidRDefault="008F5F9A">
            <w:r>
              <w:rPr>
                <w:color w:val="000000"/>
                <w:sz w:val="20"/>
                <w:szCs w:val="20"/>
              </w:rPr>
              <w:t>La semnarea contractului</w:t>
            </w:r>
          </w:p>
        </w:tc>
        <w:tc>
          <w:tcPr>
            <w:tcW w:w="234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40" w:type="dxa"/>
              <w:bottom w:w="100" w:type="dxa"/>
              <w:right w:w="140" w:type="dxa"/>
            </w:tcMar>
            <w:vAlign w:val="center"/>
          </w:tcPr>
          <w:p w14:paraId="00C4A468" w14:textId="77777777" w:rsidR="008913FA" w:rsidRDefault="008F5F9A">
            <w:r>
              <w:rPr>
                <w:color w:val="000000"/>
                <w:sz w:val="20"/>
                <w:szCs w:val="20"/>
              </w:rPr>
              <w:t>Până la 70% din suma aprobată</w:t>
            </w:r>
          </w:p>
        </w:tc>
        <w:tc>
          <w:tcPr>
            <w:tcW w:w="312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40" w:type="dxa"/>
              <w:bottom w:w="100" w:type="dxa"/>
              <w:right w:w="140" w:type="dxa"/>
            </w:tcMar>
            <w:vAlign w:val="center"/>
          </w:tcPr>
          <w:p w14:paraId="12E3C881" w14:textId="77777777" w:rsidR="008913FA" w:rsidRDefault="008F5F9A">
            <w:r>
              <w:rPr>
                <w:color w:val="000000"/>
                <w:sz w:val="20"/>
                <w:szCs w:val="20"/>
              </w:rPr>
              <w:t>Semnarea contractului de subgrant</w:t>
            </w:r>
          </w:p>
        </w:tc>
      </w:tr>
      <w:tr w:rsidR="008913FA" w14:paraId="1A0727BB" w14:textId="77777777">
        <w:tc>
          <w:tcPr>
            <w:tcW w:w="156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40" w:type="dxa"/>
              <w:bottom w:w="100" w:type="dxa"/>
              <w:right w:w="140" w:type="dxa"/>
            </w:tcMar>
            <w:vAlign w:val="center"/>
          </w:tcPr>
          <w:p w14:paraId="7124777B" w14:textId="77777777" w:rsidR="008913FA" w:rsidRDefault="008F5F9A">
            <w:r>
              <w:rPr>
                <w:b/>
                <w:bCs/>
                <w:color w:val="000000"/>
                <w:sz w:val="20"/>
                <w:szCs w:val="20"/>
              </w:rPr>
              <w:t>Tranșa II</w:t>
            </w:r>
          </w:p>
        </w:tc>
        <w:tc>
          <w:tcPr>
            <w:tcW w:w="234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40" w:type="dxa"/>
              <w:bottom w:w="100" w:type="dxa"/>
              <w:right w:w="140" w:type="dxa"/>
            </w:tcMar>
            <w:vAlign w:val="center"/>
          </w:tcPr>
          <w:p w14:paraId="1F0891D6" w14:textId="77777777" w:rsidR="008913FA" w:rsidRDefault="008F5F9A">
            <w:r>
              <w:rPr>
                <w:color w:val="000000"/>
                <w:sz w:val="20"/>
                <w:szCs w:val="20"/>
              </w:rPr>
              <w:t>La 3 luni de implementare</w:t>
            </w:r>
          </w:p>
        </w:tc>
        <w:tc>
          <w:tcPr>
            <w:tcW w:w="234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40" w:type="dxa"/>
              <w:bottom w:w="100" w:type="dxa"/>
              <w:right w:w="140" w:type="dxa"/>
            </w:tcMar>
            <w:vAlign w:val="center"/>
          </w:tcPr>
          <w:p w14:paraId="26CF84CD" w14:textId="77777777" w:rsidR="008913FA" w:rsidRDefault="008F5F9A">
            <w:r>
              <w:rPr>
                <w:color w:val="000000"/>
                <w:sz w:val="20"/>
                <w:szCs w:val="20"/>
              </w:rPr>
              <w:t>Acoperă diferența până la 100%</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40" w:type="dxa"/>
              <w:bottom w:w="100" w:type="dxa"/>
              <w:right w:w="140" w:type="dxa"/>
            </w:tcMar>
            <w:vAlign w:val="center"/>
          </w:tcPr>
          <w:p w14:paraId="02267FF2" w14:textId="77777777" w:rsidR="008913FA" w:rsidRDefault="008F5F9A">
            <w:r>
              <w:rPr>
                <w:color w:val="000000"/>
                <w:sz w:val="20"/>
                <w:szCs w:val="20"/>
              </w:rPr>
              <w:t>Raport narativ și financiar aprobat pentru primele 3 luni; minim 50% din cheltuieli justificate</w:t>
            </w:r>
          </w:p>
        </w:tc>
      </w:tr>
    </w:tbl>
    <w:p w14:paraId="1F8BE8FC" w14:textId="77777777" w:rsidR="008913FA" w:rsidRDefault="008913FA"/>
    <w:p w14:paraId="7485D273" w14:textId="674D3710" w:rsidR="008913FA" w:rsidRPr="00EF2063" w:rsidRDefault="008F5F9A" w:rsidP="00EF2063">
      <w:pPr>
        <w:spacing w:after="140"/>
        <w:rPr>
          <w:color w:val="EE0000"/>
        </w:rPr>
      </w:pPr>
      <w:r>
        <w:rPr>
          <w:i/>
          <w:iCs/>
          <w:color w:val="555555"/>
        </w:rPr>
        <w:t>Nota: Suma tranșei I este de până la 70% din suma totală aprobată, iar tranșa II acoperă diferența până la 100%, acordată după aprobarea raportului intermediar.</w:t>
      </w:r>
      <w:r w:rsidR="00EF2063" w:rsidRPr="00EF2063">
        <w:t xml:space="preserve"> </w:t>
      </w:r>
      <w:r w:rsidR="00EF2063" w:rsidRPr="00EF2063">
        <w:rPr>
          <w:i/>
          <w:iCs/>
          <w:color w:val="555555"/>
        </w:rPr>
        <w:t>Toate plățile se vor efectua exclusiv prin transfer bancar, în contul organizației beneficiare</w:t>
      </w:r>
      <w:r w:rsidR="00EF2063" w:rsidRPr="00EF2063">
        <w:rPr>
          <w:i/>
          <w:iCs/>
          <w:color w:val="EE0000"/>
        </w:rPr>
        <w:t>. Plățile în numerar nu sunt admise.</w:t>
      </w:r>
    </w:p>
    <w:p w14:paraId="4CE7872E" w14:textId="77777777" w:rsidR="008913FA" w:rsidRDefault="008F5F9A">
      <w:pPr>
        <w:pStyle w:val="Titlu1"/>
      </w:pPr>
      <w:r>
        <w:lastRenderedPageBreak/>
        <w:t>10. Raportarea beneficiarilor de subgrant</w:t>
      </w:r>
    </w:p>
    <w:p w14:paraId="6939BDDC" w14:textId="77777777" w:rsidR="008913FA" w:rsidRDefault="008F5F9A">
      <w:pPr>
        <w:pStyle w:val="Titlu2"/>
      </w:pPr>
      <w:r>
        <w:t>10.1 Obligații de raportare</w:t>
      </w:r>
    </w:p>
    <w:p w14:paraId="67358C11" w14:textId="77777777" w:rsidR="008913FA" w:rsidRDefault="008F5F9A">
      <w:pPr>
        <w:spacing w:after="140"/>
        <w:jc w:val="both"/>
      </w:pPr>
      <w:r>
        <w:t xml:space="preserve">Beneficiarii de </w:t>
      </w:r>
      <w:proofErr w:type="spellStart"/>
      <w:r>
        <w:t>subgranturi</w:t>
      </w:r>
      <w:proofErr w:type="spellEnd"/>
      <w:r>
        <w:t xml:space="preserve"> au obligația de a prezenta la oficiul Artemida următoarele rapoarte:</w:t>
      </w:r>
    </w:p>
    <w:p w14:paraId="0C4B5EA4" w14:textId="77777777" w:rsidR="008913FA" w:rsidRDefault="008F5F9A">
      <w:pPr>
        <w:pStyle w:val="Listparagraf"/>
        <w:numPr>
          <w:ilvl w:val="0"/>
          <w:numId w:val="2"/>
        </w:numPr>
        <w:spacing w:after="80"/>
      </w:pPr>
      <w:r>
        <w:t>Raport narativ și financiar intermediar – la 3 luni de la semnarea contractului (condiție pentru transferul tranșei II). Raportul va cuprinde: descrierea activităților realizate, rezultatele obținute, cheltuielile efectuate și documentele justificative.</w:t>
      </w:r>
    </w:p>
    <w:p w14:paraId="427A73B9" w14:textId="77777777" w:rsidR="008913FA" w:rsidRDefault="008F5F9A">
      <w:pPr>
        <w:pStyle w:val="Listparagraf"/>
        <w:numPr>
          <w:ilvl w:val="0"/>
          <w:numId w:val="2"/>
        </w:numPr>
        <w:spacing w:after="80"/>
      </w:pPr>
      <w:r>
        <w:t>Raport narativ și financiar final – în termen de 5 zile calendaristice de la încheierea perioadei de implementare. Raportul final va include: totalitatea activităților, rezultatele față de indicatorii asumați, situația financiară completă, lecțiile învățate și recomandările pentru viitor.</w:t>
      </w:r>
    </w:p>
    <w:p w14:paraId="6EB6583F" w14:textId="77777777" w:rsidR="008913FA" w:rsidRDefault="008F5F9A">
      <w:pPr>
        <w:pStyle w:val="Listparagraf"/>
        <w:numPr>
          <w:ilvl w:val="0"/>
          <w:numId w:val="2"/>
        </w:numPr>
        <w:spacing w:after="80"/>
      </w:pPr>
      <w:r>
        <w:t>Documente justificative financiare (facturi, extrase bancare etc.) – anexate la ambele rapoarte.</w:t>
      </w:r>
    </w:p>
    <w:p w14:paraId="64645322" w14:textId="77777777" w:rsidR="008913FA" w:rsidRDefault="008F5F9A">
      <w:pPr>
        <w:pStyle w:val="Titlu2"/>
      </w:pPr>
      <w:r>
        <w:t>10.3 Indicatori de performanță</w:t>
      </w:r>
    </w:p>
    <w:p w14:paraId="77D62F11" w14:textId="77777777" w:rsidR="008913FA" w:rsidRDefault="008F5F9A">
      <w:pPr>
        <w:spacing w:after="140"/>
        <w:jc w:val="both"/>
      </w:pPr>
      <w:r>
        <w:t xml:space="preserve">Fiecare proiect va trebui să definească indicatori </w:t>
      </w:r>
      <w:proofErr w:type="spellStart"/>
      <w:r>
        <w:t>SMART</w:t>
      </w:r>
      <w:proofErr w:type="spellEnd"/>
      <w:r>
        <w:t xml:space="preserve"> (Specifici, Măsurabili, Accesibili, Relevanți, încadrați în Timp). Mai jos sunt prezentate exemple orientative de indicatori, grupați pe categorii:</w:t>
      </w:r>
    </w:p>
    <w:p w14:paraId="6ED898B5" w14:textId="77777777" w:rsidR="008913FA" w:rsidRDefault="008F5F9A">
      <w:pPr>
        <w:pStyle w:val="Titlu2"/>
      </w:pPr>
      <w:r>
        <w:t>Indicatori cantitativi</w:t>
      </w:r>
    </w:p>
    <w:p w14:paraId="06674993" w14:textId="77777777" w:rsidR="008913FA" w:rsidRDefault="008F5F9A">
      <w:pPr>
        <w:pStyle w:val="Listparagraf"/>
        <w:numPr>
          <w:ilvl w:val="0"/>
          <w:numId w:val="2"/>
        </w:numPr>
        <w:spacing w:after="80"/>
      </w:pPr>
      <w:r>
        <w:t>Număr de beneficiari direcți ai activităților proiectului (cu dezagregare pe sex și vârstă).</w:t>
      </w:r>
    </w:p>
    <w:p w14:paraId="437E3C95" w14:textId="77777777" w:rsidR="008913FA" w:rsidRDefault="008F5F9A">
      <w:pPr>
        <w:pStyle w:val="Listparagraf"/>
        <w:numPr>
          <w:ilvl w:val="0"/>
          <w:numId w:val="2"/>
        </w:numPr>
        <w:spacing w:after="80"/>
      </w:pPr>
      <w:r>
        <w:t>Număr de persoane sprijinite (femei din mediul rural și urban, refugiate, persoane cu dizabilități).</w:t>
      </w:r>
    </w:p>
    <w:p w14:paraId="5CE6F219" w14:textId="77777777" w:rsidR="008913FA" w:rsidRDefault="008F5F9A">
      <w:pPr>
        <w:pStyle w:val="Listparagraf"/>
        <w:numPr>
          <w:ilvl w:val="0"/>
          <w:numId w:val="2"/>
        </w:numPr>
        <w:spacing w:after="80"/>
      </w:pPr>
      <w:r>
        <w:t>Număr de sesiuni de informare/formare organizate.</w:t>
      </w:r>
    </w:p>
    <w:p w14:paraId="22E29E59" w14:textId="77777777" w:rsidR="008913FA" w:rsidRDefault="008F5F9A">
      <w:pPr>
        <w:pStyle w:val="Listparagraf"/>
        <w:numPr>
          <w:ilvl w:val="0"/>
          <w:numId w:val="2"/>
        </w:numPr>
        <w:spacing w:after="80"/>
      </w:pPr>
      <w:r>
        <w:t>Număr de campanii de sensibilizare realizate și acoperirea estimată (persoane informate).</w:t>
      </w:r>
    </w:p>
    <w:p w14:paraId="6AE17A12" w14:textId="77777777" w:rsidR="008913FA" w:rsidRDefault="008F5F9A">
      <w:pPr>
        <w:pStyle w:val="Listparagraf"/>
        <w:numPr>
          <w:ilvl w:val="0"/>
          <w:numId w:val="2"/>
        </w:numPr>
        <w:spacing w:after="80"/>
      </w:pPr>
      <w:r>
        <w:t xml:space="preserve">Număr de cazuri de </w:t>
      </w:r>
      <w:proofErr w:type="spellStart"/>
      <w:r>
        <w:t>VF</w:t>
      </w:r>
      <w:proofErr w:type="spellEnd"/>
      <w:r>
        <w:t>/</w:t>
      </w:r>
      <w:proofErr w:type="spellStart"/>
      <w:r>
        <w:t>VBG</w:t>
      </w:r>
      <w:proofErr w:type="spellEnd"/>
      <w:r>
        <w:t xml:space="preserve"> referite, asistate sau soluționate cu suportul proiectului.</w:t>
      </w:r>
    </w:p>
    <w:p w14:paraId="6714F827" w14:textId="77777777" w:rsidR="008913FA" w:rsidRDefault="008F5F9A">
      <w:pPr>
        <w:pStyle w:val="Listparagraf"/>
        <w:numPr>
          <w:ilvl w:val="0"/>
          <w:numId w:val="2"/>
        </w:numPr>
        <w:spacing w:after="80"/>
      </w:pPr>
      <w:r>
        <w:t>Număr de profesioniști instruiți.</w:t>
      </w:r>
    </w:p>
    <w:p w14:paraId="2A80D480" w14:textId="77777777" w:rsidR="008913FA" w:rsidRDefault="008F5F9A">
      <w:pPr>
        <w:pStyle w:val="Listparagraf"/>
        <w:numPr>
          <w:ilvl w:val="0"/>
          <w:numId w:val="2"/>
        </w:numPr>
        <w:spacing w:after="80"/>
      </w:pPr>
      <w:r>
        <w:t>Număr de materiale informative produse și distribuite.</w:t>
      </w:r>
    </w:p>
    <w:p w14:paraId="2B64EE4B" w14:textId="77777777" w:rsidR="008913FA" w:rsidRDefault="008F5F9A">
      <w:pPr>
        <w:pStyle w:val="Listparagraf"/>
        <w:numPr>
          <w:ilvl w:val="0"/>
          <w:numId w:val="2"/>
        </w:numPr>
        <w:spacing w:after="80"/>
      </w:pPr>
      <w:r>
        <w:t>Număr de parteneriate funcționale dezvoltate (APL, poliție, servicii sociale etc.).</w:t>
      </w:r>
    </w:p>
    <w:p w14:paraId="5A168B23" w14:textId="77777777" w:rsidR="008913FA" w:rsidRDefault="008F5F9A">
      <w:pPr>
        <w:pStyle w:val="Listparagraf"/>
        <w:numPr>
          <w:ilvl w:val="0"/>
          <w:numId w:val="2"/>
        </w:numPr>
        <w:spacing w:after="80"/>
      </w:pPr>
      <w:r>
        <w:t>Număr de instrumente/metodologii dezvoltate și utilizate în proiect.</w:t>
      </w:r>
    </w:p>
    <w:p w14:paraId="2DE49A07" w14:textId="77777777" w:rsidR="008913FA" w:rsidRDefault="008F5F9A">
      <w:pPr>
        <w:pStyle w:val="Titlu2"/>
      </w:pPr>
      <w:r>
        <w:t>Indicatori calitativi</w:t>
      </w:r>
    </w:p>
    <w:p w14:paraId="35F5CFFE" w14:textId="77777777" w:rsidR="008913FA" w:rsidRDefault="008F5F9A">
      <w:pPr>
        <w:pStyle w:val="Listparagraf"/>
        <w:numPr>
          <w:ilvl w:val="0"/>
          <w:numId w:val="2"/>
        </w:numPr>
        <w:spacing w:after="80"/>
      </w:pPr>
      <w:r>
        <w:t xml:space="preserve">Număr de beneficiari care raportează creșterea nivelului de cunoștințe privind prevenirea și combaterea </w:t>
      </w:r>
      <w:proofErr w:type="spellStart"/>
      <w:r>
        <w:t>VF</w:t>
      </w:r>
      <w:proofErr w:type="spellEnd"/>
      <w:r>
        <w:t>/</w:t>
      </w:r>
      <w:proofErr w:type="spellStart"/>
      <w:r>
        <w:t>VBG</w:t>
      </w:r>
      <w:proofErr w:type="spellEnd"/>
      <w:r>
        <w:t>.</w:t>
      </w:r>
    </w:p>
    <w:p w14:paraId="323907C2" w14:textId="77777777" w:rsidR="008913FA" w:rsidRDefault="008F5F9A">
      <w:pPr>
        <w:pStyle w:val="Listparagraf"/>
        <w:numPr>
          <w:ilvl w:val="0"/>
          <w:numId w:val="2"/>
        </w:numPr>
        <w:spacing w:after="80"/>
      </w:pPr>
      <w:r>
        <w:t>Grad de schimbare a atitudinilor privind violența (măsurat prin pre/post evaluare).</w:t>
      </w:r>
    </w:p>
    <w:p w14:paraId="50EB7810" w14:textId="77777777" w:rsidR="008913FA" w:rsidRDefault="008F5F9A">
      <w:pPr>
        <w:pStyle w:val="Listparagraf"/>
        <w:numPr>
          <w:ilvl w:val="0"/>
          <w:numId w:val="2"/>
        </w:numPr>
        <w:spacing w:after="80"/>
      </w:pPr>
      <w:r>
        <w:t xml:space="preserve">Număr de mecanisme/proceduri locale îmbunătățite sau aplicate în domeniul </w:t>
      </w:r>
      <w:proofErr w:type="spellStart"/>
      <w:r>
        <w:t>VF</w:t>
      </w:r>
      <w:proofErr w:type="spellEnd"/>
      <w:r>
        <w:t>/</w:t>
      </w:r>
      <w:proofErr w:type="spellStart"/>
      <w:r>
        <w:t>VBG</w:t>
      </w:r>
      <w:proofErr w:type="spellEnd"/>
      <w:r>
        <w:t>.</w:t>
      </w:r>
    </w:p>
    <w:p w14:paraId="7469EECD" w14:textId="77777777" w:rsidR="008913FA" w:rsidRDefault="008F5F9A">
      <w:pPr>
        <w:pStyle w:val="Listparagraf"/>
        <w:numPr>
          <w:ilvl w:val="0"/>
          <w:numId w:val="2"/>
        </w:numPr>
        <w:spacing w:after="80"/>
      </w:pPr>
      <w:r>
        <w:t>Nivelul de satisfacție al beneficiarilor și al profesioniștilor instruiți (evaluat prin chestionare).</w:t>
      </w:r>
    </w:p>
    <w:p w14:paraId="1EFB2B61" w14:textId="77777777" w:rsidR="008913FA" w:rsidRDefault="008F5F9A">
      <w:pPr>
        <w:pStyle w:val="Titlu2"/>
      </w:pPr>
      <w:r>
        <w:t>Indicatori de progres</w:t>
      </w:r>
    </w:p>
    <w:p w14:paraId="24BBFA49" w14:textId="77777777" w:rsidR="008913FA" w:rsidRDefault="008F5F9A">
      <w:pPr>
        <w:pStyle w:val="Listparagraf"/>
        <w:numPr>
          <w:ilvl w:val="0"/>
          <w:numId w:val="2"/>
        </w:numPr>
        <w:spacing w:after="80"/>
      </w:pPr>
      <w:r>
        <w:t>Rata de participare și retenție a beneficiarilor în activități (ex. % participanți care finalizează sesiunile).</w:t>
      </w:r>
    </w:p>
    <w:p w14:paraId="5A7D9863" w14:textId="77777777" w:rsidR="008913FA" w:rsidRDefault="008F5F9A">
      <w:pPr>
        <w:pStyle w:val="Listparagraf"/>
        <w:numPr>
          <w:ilvl w:val="0"/>
          <w:numId w:val="2"/>
        </w:numPr>
        <w:spacing w:after="80"/>
      </w:pPr>
      <w:r>
        <w:t>Gradul de implicare a comunității în activitățile proiectului (participare, inițiative locale).</w:t>
      </w:r>
    </w:p>
    <w:p w14:paraId="3EF450E7" w14:textId="13695AA4" w:rsidR="008913FA" w:rsidRDefault="008F5F9A" w:rsidP="002D27E2">
      <w:pPr>
        <w:pStyle w:val="Listparagraf"/>
        <w:numPr>
          <w:ilvl w:val="0"/>
          <w:numId w:val="2"/>
        </w:numPr>
        <w:spacing w:after="80"/>
      </w:pPr>
      <w:r>
        <w:t xml:space="preserve">Număr de beneficiari </w:t>
      </w:r>
      <w:r w:rsidR="002D27E2" w:rsidRPr="002D27E2">
        <w:t>care au accesat servicii</w:t>
      </w:r>
      <w:r w:rsidR="002D27E2">
        <w:t xml:space="preserve"> </w:t>
      </w:r>
      <w:r>
        <w:t>specializate (sociale, juridice, psihologice).</w:t>
      </w:r>
    </w:p>
    <w:p w14:paraId="3DD08EA7" w14:textId="77777777" w:rsidR="008913FA" w:rsidRDefault="008F5F9A">
      <w:pPr>
        <w:pStyle w:val="Titlu1"/>
      </w:pPr>
      <w:r>
        <w:lastRenderedPageBreak/>
        <w:t>11. Vizibilitate și comunicare</w:t>
      </w:r>
    </w:p>
    <w:p w14:paraId="04FD6341" w14:textId="77777777" w:rsidR="008913FA" w:rsidRDefault="008F5F9A">
      <w:pPr>
        <w:pStyle w:val="Titlu2"/>
      </w:pPr>
      <w:r>
        <w:t>11.1 Obligații de vizibilitate</w:t>
      </w:r>
    </w:p>
    <w:p w14:paraId="07D56C24" w14:textId="77777777" w:rsidR="008913FA" w:rsidRDefault="008F5F9A">
      <w:pPr>
        <w:spacing w:after="140"/>
        <w:jc w:val="both"/>
      </w:pPr>
      <w:r>
        <w:t xml:space="preserve">Beneficiarii </w:t>
      </w:r>
      <w:proofErr w:type="spellStart"/>
      <w:r>
        <w:t>subgranturilor</w:t>
      </w:r>
      <w:proofErr w:type="spellEnd"/>
      <w:r>
        <w:t xml:space="preserve"> au obligația de a asigura vizibilitatea sprijinului primit din partea Artemida și a finanțatorilor programului prin:</w:t>
      </w:r>
    </w:p>
    <w:p w14:paraId="21A2450C" w14:textId="77777777" w:rsidR="008913FA" w:rsidRDefault="008F5F9A">
      <w:pPr>
        <w:pStyle w:val="Listparagraf"/>
        <w:numPr>
          <w:ilvl w:val="0"/>
          <w:numId w:val="2"/>
        </w:numPr>
        <w:spacing w:after="80"/>
      </w:pPr>
      <w:r>
        <w:t>Menționarea Artemida și a finanțatorilor pe toate materialele produse în cadrul proiectului (pliante, bannere, prezentări, publicații, site web, rețele sociale).</w:t>
      </w:r>
    </w:p>
    <w:p w14:paraId="693F9807" w14:textId="77777777" w:rsidR="008913FA" w:rsidRDefault="008F5F9A">
      <w:pPr>
        <w:pStyle w:val="Listparagraf"/>
        <w:numPr>
          <w:ilvl w:val="0"/>
          <w:numId w:val="2"/>
        </w:numPr>
        <w:spacing w:after="80"/>
      </w:pPr>
      <w:r>
        <w:t>Utilizarea logo-urilor Artemida și ale finanțatorilor puse la dispoziție de Artemida.</w:t>
      </w:r>
    </w:p>
    <w:p w14:paraId="47B82700" w14:textId="77777777" w:rsidR="008913FA" w:rsidRDefault="008F5F9A">
      <w:pPr>
        <w:pStyle w:val="Listparagraf"/>
        <w:numPr>
          <w:ilvl w:val="0"/>
          <w:numId w:val="2"/>
        </w:numPr>
        <w:spacing w:after="80"/>
      </w:pPr>
      <w:r>
        <w:t>Formulă standard de recunoaștere: "Proiect implementat cu sprijinul financiar al Suediei și implementat de Asociația Obștească Artemida".</w:t>
      </w:r>
    </w:p>
    <w:p w14:paraId="3292533F" w14:textId="77777777" w:rsidR="008913FA" w:rsidRDefault="008F5F9A">
      <w:pPr>
        <w:pStyle w:val="Listparagraf"/>
        <w:numPr>
          <w:ilvl w:val="0"/>
          <w:numId w:val="2"/>
        </w:numPr>
        <w:spacing w:after="80"/>
      </w:pPr>
      <w:r>
        <w:t>Notificarea prealabilă a Artemida cu minimum 5 zile înainte de orice eveniment public pentru a permite participarea și mediatizarea.</w:t>
      </w:r>
    </w:p>
    <w:p w14:paraId="32906AD5" w14:textId="77777777" w:rsidR="008913FA" w:rsidRDefault="008F5F9A">
      <w:pPr>
        <w:pStyle w:val="Titlu2"/>
      </w:pPr>
      <w:r>
        <w:t>11.2 Comunicare și promovare</w:t>
      </w:r>
    </w:p>
    <w:p w14:paraId="695F4A23" w14:textId="77777777" w:rsidR="008913FA" w:rsidRDefault="008F5F9A">
      <w:pPr>
        <w:pStyle w:val="Listparagraf"/>
        <w:numPr>
          <w:ilvl w:val="0"/>
          <w:numId w:val="2"/>
        </w:numPr>
        <w:spacing w:after="80"/>
      </w:pPr>
      <w:r>
        <w:t>Postarea pe rețelele sociale a cel puțin 1-2 actualizări lunare despre activitățile proiectului, cu etichetarea paginii Artemida.</w:t>
      </w:r>
    </w:p>
    <w:p w14:paraId="07AC1BFA" w14:textId="77777777" w:rsidR="008913FA" w:rsidRDefault="008F5F9A">
      <w:pPr>
        <w:pStyle w:val="Listparagraf"/>
        <w:numPr>
          <w:ilvl w:val="0"/>
          <w:numId w:val="2"/>
        </w:numPr>
        <w:spacing w:after="80"/>
      </w:pPr>
      <w:r>
        <w:t>Transmiterea către Artemida a fotografiilor și a materialelor video de la evenimentele proiectului.</w:t>
      </w:r>
    </w:p>
    <w:p w14:paraId="70B9F193" w14:textId="77777777" w:rsidR="008913FA" w:rsidRDefault="008F5F9A">
      <w:pPr>
        <w:pStyle w:val="Listparagraf"/>
        <w:numPr>
          <w:ilvl w:val="0"/>
          <w:numId w:val="2"/>
        </w:numPr>
        <w:spacing w:after="80"/>
      </w:pPr>
      <w:r>
        <w:t>Acordul pentru utilizarea de către Artemida a materialelor vizuale și a poveștilor de succes din proiect (cu respectarea protecției datelor personale).</w:t>
      </w:r>
    </w:p>
    <w:p w14:paraId="2875979B" w14:textId="77777777" w:rsidR="008913FA" w:rsidRDefault="008F5F9A">
      <w:pPr>
        <w:pStyle w:val="Listparagraf"/>
        <w:numPr>
          <w:ilvl w:val="0"/>
          <w:numId w:val="2"/>
        </w:numPr>
        <w:spacing w:after="80"/>
      </w:pPr>
      <w:r>
        <w:t>Prezentarea proiectului în cadrul evenimentelor de relaționare profesională organizate de Artemida (dacă sunt solicitate).</w:t>
      </w:r>
    </w:p>
    <w:p w14:paraId="0A851513" w14:textId="62466A26" w:rsidR="008913FA" w:rsidRDefault="008F5F9A" w:rsidP="002D27E2">
      <w:pPr>
        <w:spacing w:after="140"/>
        <w:jc w:val="both"/>
      </w:pPr>
      <w:r>
        <w:rPr>
          <w:i/>
          <w:iCs/>
          <w:color w:val="555555"/>
        </w:rPr>
        <w:t>Activitățile de vizibilitate și comunicare vor fi coordonate în prealabil cu responsabilul de comunicare din cadrul A.O. Artemida.</w:t>
      </w:r>
    </w:p>
    <w:p w14:paraId="2E862CA1" w14:textId="77777777" w:rsidR="008913FA" w:rsidRDefault="008F5F9A">
      <w:pPr>
        <w:pStyle w:val="Titlu1"/>
      </w:pPr>
      <w:r>
        <w:t>12. Angajamentele etice ale beneficiarilor de subgrant</w:t>
      </w:r>
    </w:p>
    <w:p w14:paraId="6C6AF533" w14:textId="54FBF7C9" w:rsidR="008913FA" w:rsidRDefault="008F5F9A">
      <w:pPr>
        <w:spacing w:after="140"/>
        <w:jc w:val="both"/>
      </w:pPr>
      <w:r>
        <w:t xml:space="preserve">Toți beneficiarii de </w:t>
      </w:r>
      <w:proofErr w:type="spellStart"/>
      <w:r>
        <w:t>subgranturi</w:t>
      </w:r>
      <w:proofErr w:type="spellEnd"/>
      <w:r>
        <w:t xml:space="preserve"> se angajează să respecte</w:t>
      </w:r>
      <w:r w:rsidR="003D0F2E">
        <w:t xml:space="preserve"> </w:t>
      </w:r>
      <w:r w:rsidR="003D0F2E" w:rsidRPr="003D0F2E">
        <w:t>următoarele principii și cerințe:</w:t>
      </w:r>
    </w:p>
    <w:p w14:paraId="21B8F644" w14:textId="4C44D69C" w:rsidR="00B456B9" w:rsidRDefault="008F5F9A" w:rsidP="00B456B9">
      <w:pPr>
        <w:pStyle w:val="Listparagraf"/>
        <w:numPr>
          <w:ilvl w:val="0"/>
          <w:numId w:val="2"/>
        </w:numPr>
        <w:spacing w:after="80"/>
      </w:pPr>
      <w:r>
        <w:t xml:space="preserve"> </w:t>
      </w:r>
      <w:r w:rsidR="00B456B9">
        <w:t>Să asigure protecția datelor cu caracter personal, în conformitate cu legislația în vigoare;</w:t>
      </w:r>
    </w:p>
    <w:p w14:paraId="4FCC4699" w14:textId="0AA77C2C" w:rsidR="00B456B9" w:rsidRDefault="00B456B9" w:rsidP="00B456B9">
      <w:pPr>
        <w:pStyle w:val="Listparagraf"/>
        <w:numPr>
          <w:ilvl w:val="0"/>
          <w:numId w:val="2"/>
        </w:numPr>
        <w:spacing w:after="80"/>
      </w:pPr>
      <w:r>
        <w:t>Să respecte principiile etice în lucrul cu victimele violenței în familie și ale violenței bazate pe gen (</w:t>
      </w:r>
      <w:proofErr w:type="spellStart"/>
      <w:r>
        <w:t>VF</w:t>
      </w:r>
      <w:proofErr w:type="spellEnd"/>
      <w:r>
        <w:t>/</w:t>
      </w:r>
      <w:proofErr w:type="spellStart"/>
      <w:r>
        <w:t>VBG</w:t>
      </w:r>
      <w:proofErr w:type="spellEnd"/>
      <w:r>
        <w:t>), inclusiv confidențialitatea, siguranța, nediscriminarea și abordarea centrată pe supraviețuitoare;</w:t>
      </w:r>
    </w:p>
    <w:p w14:paraId="6ABD48C0" w14:textId="77777777" w:rsidR="00B456B9" w:rsidRDefault="00B456B9" w:rsidP="00B456B9">
      <w:pPr>
        <w:pStyle w:val="Listparagraf"/>
        <w:numPr>
          <w:ilvl w:val="0"/>
          <w:numId w:val="2"/>
        </w:numPr>
        <w:spacing w:after="80"/>
      </w:pPr>
      <w:r>
        <w:t>Să prevină și să combată orice formă de exploatare și abuz, inclusiv exploatarea și abuzul sexual (</w:t>
      </w:r>
      <w:proofErr w:type="spellStart"/>
      <w:r>
        <w:t>PSEA</w:t>
      </w:r>
      <w:proofErr w:type="spellEnd"/>
      <w:r>
        <w:t>);</w:t>
      </w:r>
    </w:p>
    <w:p w14:paraId="0CA60D29" w14:textId="77777777" w:rsidR="00B456B9" w:rsidRDefault="00B456B9" w:rsidP="00B456B9">
      <w:pPr>
        <w:pStyle w:val="Listparagraf"/>
        <w:numPr>
          <w:ilvl w:val="0"/>
          <w:numId w:val="2"/>
        </w:numPr>
        <w:spacing w:after="80"/>
      </w:pPr>
      <w:r>
        <w:t>Să asigure obținerea consimțământului informat al beneficiarilor pentru colectarea, utilizarea și prelucrarea datelor cu caracter personal.</w:t>
      </w:r>
    </w:p>
    <w:p w14:paraId="6476EB80" w14:textId="0C9D612F" w:rsidR="008913FA" w:rsidRDefault="008F5F9A" w:rsidP="00B456B9">
      <w:pPr>
        <w:spacing w:after="80"/>
      </w:pPr>
      <w:r w:rsidRPr="00B456B9">
        <w:rPr>
          <w:b/>
          <w:bCs/>
          <w:color w:val="1A5276"/>
          <w:sz w:val="28"/>
          <w:szCs w:val="28"/>
        </w:rPr>
        <w:t>13. Contractul de subgrant</w:t>
      </w:r>
    </w:p>
    <w:p w14:paraId="39FDD871" w14:textId="436DD710" w:rsidR="008913FA" w:rsidRDefault="00B456B9">
      <w:r w:rsidRPr="00B456B9">
        <w:t>Organizațiile selectate vor semna un Contract de Subgrant cu A.O. Artemida. Contractul va reglementa drepturile și obligațiile părților pe întreaga perioadă de implementare a proiectului, în conformitate cu prevederile prezentului document (Termeni de Referință) și cu legislația în vigoare a Republicii Moldova.</w:t>
      </w:r>
    </w:p>
    <w:p w14:paraId="5A652D7B" w14:textId="77777777" w:rsidR="008913FA" w:rsidRDefault="008F5F9A">
      <w:pPr>
        <w:pStyle w:val="Titlu1"/>
      </w:pPr>
      <w:r>
        <w:t>14. Canal oficial de comunicare</w:t>
      </w:r>
    </w:p>
    <w:p w14:paraId="768EBDFE" w14:textId="77777777" w:rsidR="008913FA" w:rsidRDefault="008F5F9A" w:rsidP="00B456B9">
      <w:pPr>
        <w:pStyle w:val="Listparagraf"/>
        <w:numPr>
          <w:ilvl w:val="0"/>
          <w:numId w:val="6"/>
        </w:numPr>
        <w:spacing w:after="140"/>
        <w:jc w:val="both"/>
      </w:pPr>
      <w:r>
        <w:lastRenderedPageBreak/>
        <w:t xml:space="preserve">Pentru orice întrebare sau informație suplimentară legată de prezentul apel de propuneri, echipa A.O. Artemida este disponibilă la adresa de e-mail: </w:t>
      </w:r>
      <w:proofErr w:type="spellStart"/>
      <w:r>
        <w:t>artemidaong@gmail.com</w:t>
      </w:r>
      <w:proofErr w:type="spellEnd"/>
    </w:p>
    <w:p w14:paraId="447F6CFF" w14:textId="2517773D" w:rsidR="001D4352" w:rsidRDefault="001D4352" w:rsidP="00B456B9">
      <w:pPr>
        <w:pStyle w:val="Listparagraf"/>
        <w:numPr>
          <w:ilvl w:val="0"/>
          <w:numId w:val="6"/>
        </w:numPr>
        <w:spacing w:after="140"/>
        <w:jc w:val="both"/>
      </w:pPr>
      <w:r w:rsidRPr="001D4352">
        <w:t>Toate solicitările vor fi transmise în scris, prin e-mail, pentru a asigura furnizarea unor răspunsuri clare, documentate și accesibile în mod egal tuturor aplicaților;</w:t>
      </w:r>
    </w:p>
    <w:p w14:paraId="1C9F0906" w14:textId="529D5E73" w:rsidR="00B456B9" w:rsidRDefault="00B456B9" w:rsidP="00B456B9">
      <w:pPr>
        <w:pStyle w:val="Listparagraf"/>
        <w:numPr>
          <w:ilvl w:val="0"/>
          <w:numId w:val="6"/>
        </w:numPr>
        <w:spacing w:after="140"/>
        <w:jc w:val="both"/>
      </w:pPr>
      <w:r w:rsidRPr="00B456B9">
        <w:t>Răspunsurile la întrebări vor fi oferite în perioada 20 aprilie – 30 aprilie 2026.</w:t>
      </w:r>
      <w:r w:rsidR="001D4352" w:rsidRPr="001D4352">
        <w:t xml:space="preserve"> Termen-limită pentru transmiterea întrebărilor: 30 aprilie 2026, ora 1</w:t>
      </w:r>
      <w:r w:rsidR="001D4352">
        <w:t>5</w:t>
      </w:r>
      <w:r w:rsidR="001D4352" w:rsidRPr="001D4352">
        <w:t>:00;</w:t>
      </w:r>
    </w:p>
    <w:p w14:paraId="1AB4A79B" w14:textId="1D773E67" w:rsidR="001D4352" w:rsidRDefault="001D4352" w:rsidP="00B456B9">
      <w:pPr>
        <w:pStyle w:val="Listparagraf"/>
        <w:numPr>
          <w:ilvl w:val="0"/>
          <w:numId w:val="6"/>
        </w:numPr>
        <w:spacing w:after="140"/>
        <w:jc w:val="both"/>
      </w:pPr>
      <w:r w:rsidRPr="001D4352">
        <w:t>Nu se vor oferi răspunsuri la întrebările recepționate după termenul-limită indicat;</w:t>
      </w:r>
    </w:p>
    <w:p w14:paraId="04CF9B1A" w14:textId="5660AD4D" w:rsidR="008913FA" w:rsidRDefault="001D4352" w:rsidP="001D4352">
      <w:pPr>
        <w:pStyle w:val="Listparagraf"/>
        <w:numPr>
          <w:ilvl w:val="0"/>
          <w:numId w:val="6"/>
        </w:numPr>
        <w:spacing w:after="140"/>
        <w:jc w:val="both"/>
      </w:pPr>
      <w:r w:rsidRPr="001D4352">
        <w:t>Întreaga corespondență oficială aferentă procesului de aplicare, evaluare și implementare se va desfășura în scris, prin e-mail, în vederea asigurării transparenței și evitării oricăror interpretări.</w:t>
      </w:r>
    </w:p>
    <w:p w14:paraId="2B7DD6EA" w14:textId="548E558E" w:rsidR="008913FA" w:rsidRDefault="008F5F9A">
      <w:pPr>
        <w:pStyle w:val="Titlu1"/>
      </w:pPr>
      <w:r>
        <w:t>15. Monitorizare și audit</w:t>
      </w:r>
    </w:p>
    <w:p w14:paraId="452A98B5" w14:textId="53E41AFA" w:rsidR="00213043" w:rsidRDefault="00213043" w:rsidP="00213043">
      <w:r>
        <w:t>A.O. Artemida își rezervă dreptul și responsabilitatea de a monitoriza implementarea tuturor proiectelor finanțate în cadrul prezentului program, prin următoarele mecanisme:</w:t>
      </w:r>
    </w:p>
    <w:p w14:paraId="230FD71B" w14:textId="15DE7F42" w:rsidR="00213043" w:rsidRDefault="00213043" w:rsidP="00213043">
      <w:pPr>
        <w:pStyle w:val="Listparagraf"/>
        <w:numPr>
          <w:ilvl w:val="0"/>
          <w:numId w:val="7"/>
        </w:numPr>
      </w:pPr>
      <w:r>
        <w:t>Realizarea a minimum 1–2 vizite de monitorizare la fața locului, pe parcursul implementării proiectului;</w:t>
      </w:r>
    </w:p>
    <w:p w14:paraId="7F81EB2B" w14:textId="77777777" w:rsidR="00213043" w:rsidRDefault="00213043" w:rsidP="00213043">
      <w:pPr>
        <w:pStyle w:val="Listparagraf"/>
        <w:ind w:left="720"/>
      </w:pPr>
    </w:p>
    <w:p w14:paraId="11E37366" w14:textId="77777777" w:rsidR="00213043" w:rsidRDefault="00213043" w:rsidP="00213043">
      <w:pPr>
        <w:pStyle w:val="Listparagraf"/>
        <w:numPr>
          <w:ilvl w:val="0"/>
          <w:numId w:val="7"/>
        </w:numPr>
      </w:pPr>
      <w:r>
        <w:t>Menținerea unei comunicări regulate cu echipa de implementare a proiectului, prin e-mail, telefon sau ședințe online/offline, după caz;</w:t>
      </w:r>
    </w:p>
    <w:p w14:paraId="2FB409B6" w14:textId="77777777" w:rsidR="00213043" w:rsidRDefault="00213043" w:rsidP="00213043">
      <w:pPr>
        <w:pStyle w:val="Listparagraf"/>
        <w:ind w:left="720"/>
      </w:pPr>
    </w:p>
    <w:p w14:paraId="72F7A6B9" w14:textId="5DCEDB95" w:rsidR="008913FA" w:rsidRDefault="00213043" w:rsidP="00213043">
      <w:pPr>
        <w:pStyle w:val="Listparagraf"/>
        <w:numPr>
          <w:ilvl w:val="0"/>
          <w:numId w:val="7"/>
        </w:numPr>
      </w:pPr>
      <w:r>
        <w:t xml:space="preserve">Supunerea </w:t>
      </w:r>
      <w:proofErr w:type="spellStart"/>
      <w:r>
        <w:t>subgrantului</w:t>
      </w:r>
      <w:proofErr w:type="spellEnd"/>
      <w:r>
        <w:t xml:space="preserve"> unui audit financiar, în conformitate cu cerințele donatorului. Costurile aferente auditului vor fi acoperite de A.O. Artemida și nu vor fi incluse în bugetul beneficiarului.</w:t>
      </w:r>
    </w:p>
    <w:p w14:paraId="3B2B8F32" w14:textId="60E29D5A" w:rsidR="006D61A5" w:rsidRDefault="008F5F9A" w:rsidP="006D61A5">
      <w:pPr>
        <w:pStyle w:val="Titlu1"/>
      </w:pPr>
      <w:r>
        <w:t>Anexe</w:t>
      </w:r>
    </w:p>
    <w:p w14:paraId="42E5E017" w14:textId="2AE32742" w:rsidR="006D61A5" w:rsidRDefault="006D61A5" w:rsidP="006D61A5">
      <w:r>
        <w:t>a. Formular de aplicare (</w:t>
      </w:r>
      <w:r w:rsidR="006C24AA" w:rsidRPr="006C24AA">
        <w:t xml:space="preserve">se completează și se semnează de către organizația </w:t>
      </w:r>
      <w:proofErr w:type="spellStart"/>
      <w:r w:rsidR="006C24AA" w:rsidRPr="006C24AA">
        <w:t>aplicantă</w:t>
      </w:r>
      <w:proofErr w:type="spellEnd"/>
      <w:r>
        <w:t>) – Anexa nr. 1;</w:t>
      </w:r>
    </w:p>
    <w:p w14:paraId="07D2A54E" w14:textId="75E429CC" w:rsidR="006D61A5" w:rsidRDefault="006D61A5" w:rsidP="006D61A5">
      <w:r>
        <w:t>b. Model de buget detaliat (</w:t>
      </w:r>
      <w:r w:rsidR="006C24AA" w:rsidRPr="006C24AA">
        <w:t xml:space="preserve">se completează și se semnează de către organizația </w:t>
      </w:r>
      <w:proofErr w:type="spellStart"/>
      <w:r w:rsidR="006C24AA" w:rsidRPr="006C24AA">
        <w:t>aplicantă</w:t>
      </w:r>
      <w:proofErr w:type="spellEnd"/>
      <w:r>
        <w:t>) – Anexa nr. 2;</w:t>
      </w:r>
    </w:p>
    <w:p w14:paraId="371C57BC" w14:textId="77777777" w:rsidR="006D61A5" w:rsidRDefault="006D61A5" w:rsidP="006D61A5">
      <w:r>
        <w:t>c. Declarație pe proprie răspundere privind eligibilitatea organizației (de semnat de către reprezentantul legal al organizației aplicante) – Anexa nr. 3;</w:t>
      </w:r>
    </w:p>
    <w:p w14:paraId="555E9C31" w14:textId="77777777" w:rsidR="006D61A5" w:rsidRDefault="006D61A5" w:rsidP="006D61A5">
      <w:r>
        <w:t>d. Declarație pe proprie răspundere privind lipsa datoriilor față de bugetul public (de semnat de către reprezentantul legal al organizației aplicante) – Anexa nr. 4;</w:t>
      </w:r>
    </w:p>
    <w:p w14:paraId="12BFFCD9" w14:textId="1DB685AF" w:rsidR="008913FA" w:rsidRDefault="006D61A5" w:rsidP="006D61A5">
      <w:r>
        <w:t xml:space="preserve">e. Declarație pe proprie răspundere privind </w:t>
      </w:r>
      <w:r w:rsidR="00244C83" w:rsidRPr="00244C83">
        <w:t>confidențialitatea și</w:t>
      </w:r>
      <w:r w:rsidR="00244C83">
        <w:t xml:space="preserve"> </w:t>
      </w:r>
      <w:r>
        <w:t>absența conflictului de interese (</w:t>
      </w:r>
      <w:r w:rsidR="00244C83">
        <w:t>s</w:t>
      </w:r>
      <w:r>
        <w:t xml:space="preserve">e </w:t>
      </w:r>
      <w:r w:rsidR="006C24AA">
        <w:t>semnează</w:t>
      </w:r>
      <w:r>
        <w:t xml:space="preserve"> de către membrii Comisiei de Evaluare) – Anexa nr. 5.</w:t>
      </w:r>
    </w:p>
    <w:p w14:paraId="6A53BEE9" w14:textId="77777777" w:rsidR="008913FA" w:rsidRDefault="008913FA" w:rsidP="006D61A5"/>
    <w:p w14:paraId="29CFE5AF" w14:textId="77777777" w:rsidR="008913FA" w:rsidRDefault="008913FA"/>
    <w:p w14:paraId="6ED43A8B" w14:textId="6C0BA3DF" w:rsidR="008913FA" w:rsidRDefault="006D61A5" w:rsidP="006D61A5">
      <w:pPr>
        <w:spacing w:before="200" w:after="80"/>
        <w:jc w:val="center"/>
      </w:pPr>
      <w:r w:rsidRPr="006D61A5">
        <w:rPr>
          <w:i/>
          <w:iCs/>
          <w:color w:val="555555"/>
          <w:sz w:val="20"/>
          <w:szCs w:val="20"/>
        </w:rPr>
        <w:t>Document elaborat de către A.O. Artemida</w:t>
      </w:r>
      <w:r>
        <w:rPr>
          <w:i/>
          <w:iCs/>
          <w:color w:val="555555"/>
          <w:sz w:val="20"/>
          <w:szCs w:val="20"/>
        </w:rPr>
        <w:t>.</w:t>
      </w:r>
    </w:p>
    <w:sectPr w:rsidR="008913FA">
      <w:headerReference w:type="default" r:id="rId7"/>
      <w:footerReference w:type="default" r:id="rId8"/>
      <w:pgSz w:w="11906" w:h="16838"/>
      <w:pgMar w:top="1440" w:right="126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0D3F" w14:textId="77777777" w:rsidR="00E42278" w:rsidRDefault="00E42278">
      <w:r>
        <w:separator/>
      </w:r>
    </w:p>
  </w:endnote>
  <w:endnote w:type="continuationSeparator" w:id="0">
    <w:p w14:paraId="21E85A68" w14:textId="77777777" w:rsidR="00E42278" w:rsidRDefault="00E4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5C75" w14:textId="77777777" w:rsidR="008913FA" w:rsidRDefault="008F5F9A">
    <w:pPr>
      <w:pBdr>
        <w:top w:val="single" w:sz="4" w:space="1" w:color="1A5276"/>
      </w:pBdr>
      <w:spacing w:before="120"/>
      <w:jc w:val="center"/>
    </w:pPr>
    <w:r>
      <w:rPr>
        <w:color w:val="555555"/>
        <w:sz w:val="18"/>
        <w:szCs w:val="18"/>
      </w:rPr>
      <w:t xml:space="preserve">Pagina </w:t>
    </w:r>
    <w:r>
      <w:rPr>
        <w:color w:val="555555"/>
        <w:sz w:val="18"/>
        <w:szCs w:val="18"/>
      </w:rPr>
      <w:fldChar w:fldCharType="begin"/>
    </w:r>
    <w:r>
      <w:rPr>
        <w:color w:val="555555"/>
        <w:sz w:val="18"/>
        <w:szCs w:val="18"/>
      </w:rPr>
      <w:instrText>PAGE</w:instrText>
    </w:r>
    <w:r>
      <w:rPr>
        <w:color w:val="555555"/>
        <w:sz w:val="18"/>
        <w:szCs w:val="18"/>
      </w:rPr>
      <w:fldChar w:fldCharType="separate"/>
    </w:r>
    <w:r w:rsidR="00FE57DC">
      <w:rPr>
        <w:noProof/>
        <w:color w:val="555555"/>
        <w:sz w:val="18"/>
        <w:szCs w:val="18"/>
      </w:rPr>
      <w:t>1</w:t>
    </w:r>
    <w:r>
      <w:rPr>
        <w:color w:val="555555"/>
        <w:sz w:val="18"/>
        <w:szCs w:val="18"/>
      </w:rPr>
      <w:fldChar w:fldCharType="end"/>
    </w:r>
    <w:r>
      <w:rPr>
        <w:color w:val="555555"/>
        <w:sz w:val="18"/>
        <w:szCs w:val="18"/>
      </w:rPr>
      <w:t xml:space="preserve"> din </w:t>
    </w:r>
    <w:r>
      <w:rPr>
        <w:color w:val="555555"/>
        <w:sz w:val="18"/>
        <w:szCs w:val="18"/>
      </w:rPr>
      <w:fldChar w:fldCharType="begin"/>
    </w:r>
    <w:r>
      <w:rPr>
        <w:color w:val="555555"/>
        <w:sz w:val="18"/>
        <w:szCs w:val="18"/>
      </w:rPr>
      <w:instrText>NUMPAGES</w:instrText>
    </w:r>
    <w:r>
      <w:rPr>
        <w:color w:val="555555"/>
        <w:sz w:val="18"/>
        <w:szCs w:val="18"/>
      </w:rPr>
      <w:fldChar w:fldCharType="separate"/>
    </w:r>
    <w:r w:rsidR="00FE57DC">
      <w:rPr>
        <w:noProof/>
        <w:color w:val="555555"/>
        <w:sz w:val="18"/>
        <w:szCs w:val="18"/>
      </w:rPr>
      <w:t>2</w:t>
    </w:r>
    <w:r>
      <w:rPr>
        <w:color w:val="555555"/>
        <w:sz w:val="18"/>
        <w:szCs w:val="18"/>
      </w:rPr>
      <w:fldChar w:fldCharType="end"/>
    </w:r>
    <w:r>
      <w:rPr>
        <w:color w:val="555555"/>
        <w:sz w:val="18"/>
        <w:szCs w:val="18"/>
      </w:rPr>
      <w:t xml:space="preserve"> | Artemida | Ediția 2026 | Cu suportul financiar al Suediei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FAC2" w14:textId="77777777" w:rsidR="00E42278" w:rsidRDefault="00E42278">
      <w:r>
        <w:separator/>
      </w:r>
    </w:p>
  </w:footnote>
  <w:footnote w:type="continuationSeparator" w:id="0">
    <w:p w14:paraId="7CDA16F9" w14:textId="77777777" w:rsidR="00E42278" w:rsidRDefault="00E4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A309" w14:textId="77777777" w:rsidR="008913FA" w:rsidRDefault="008F5F9A">
    <w:pPr>
      <w:pBdr>
        <w:bottom w:val="single" w:sz="4" w:space="1" w:color="1A5276"/>
      </w:pBdr>
      <w:spacing w:after="120"/>
      <w:jc w:val="right"/>
    </w:pPr>
    <w:r>
      <w:rPr>
        <w:i/>
        <w:iCs/>
        <w:color w:val="1A5276"/>
        <w:sz w:val="18"/>
        <w:szCs w:val="18"/>
      </w:rPr>
      <w:t xml:space="preserve">TERMENI DE REFERINȚĂ – Program de </w:t>
    </w:r>
    <w:proofErr w:type="spellStart"/>
    <w:r>
      <w:rPr>
        <w:i/>
        <w:iCs/>
        <w:color w:val="1A5276"/>
        <w:sz w:val="18"/>
        <w:szCs w:val="18"/>
      </w:rPr>
      <w:t>Subgranturi</w:t>
    </w:r>
    <w:proofErr w:type="spellEnd"/>
    <w:r>
      <w:rPr>
        <w:i/>
        <w:iCs/>
        <w:color w:val="1A5276"/>
        <w:sz w:val="18"/>
        <w:szCs w:val="18"/>
      </w:rPr>
      <w:t xml:space="preserve"> | Artemida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E6246"/>
    <w:multiLevelType w:val="hybridMultilevel"/>
    <w:tmpl w:val="B12EC292"/>
    <w:lvl w:ilvl="0" w:tplc="572EF756">
      <w:start w:val="1"/>
      <w:numFmt w:val="bullet"/>
      <w:lvlText w:val="•"/>
      <w:lvlJc w:val="left"/>
      <w:pPr>
        <w:ind w:left="720" w:hanging="360"/>
      </w:p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51E03ADD"/>
    <w:multiLevelType w:val="hybridMultilevel"/>
    <w:tmpl w:val="C07280C0"/>
    <w:lvl w:ilvl="0" w:tplc="A83CAB6A">
      <w:start w:val="1"/>
      <w:numFmt w:val="bullet"/>
      <w:lvlText w:val="•"/>
      <w:lvlJc w:val="left"/>
      <w:pPr>
        <w:ind w:left="720" w:hanging="360"/>
      </w:pPr>
    </w:lvl>
    <w:lvl w:ilvl="1" w:tplc="8264B530">
      <w:numFmt w:val="decimal"/>
      <w:lvlText w:val=""/>
      <w:lvlJc w:val="left"/>
    </w:lvl>
    <w:lvl w:ilvl="2" w:tplc="61FEBCFC">
      <w:numFmt w:val="decimal"/>
      <w:lvlText w:val=""/>
      <w:lvlJc w:val="left"/>
    </w:lvl>
    <w:lvl w:ilvl="3" w:tplc="99D4BE80">
      <w:numFmt w:val="decimal"/>
      <w:lvlText w:val=""/>
      <w:lvlJc w:val="left"/>
    </w:lvl>
    <w:lvl w:ilvl="4" w:tplc="DB5CD8B6">
      <w:numFmt w:val="decimal"/>
      <w:lvlText w:val=""/>
      <w:lvlJc w:val="left"/>
    </w:lvl>
    <w:lvl w:ilvl="5" w:tplc="39888FCA">
      <w:numFmt w:val="decimal"/>
      <w:lvlText w:val=""/>
      <w:lvlJc w:val="left"/>
    </w:lvl>
    <w:lvl w:ilvl="6" w:tplc="C0807106">
      <w:numFmt w:val="decimal"/>
      <w:lvlText w:val=""/>
      <w:lvlJc w:val="left"/>
    </w:lvl>
    <w:lvl w:ilvl="7" w:tplc="512803CC">
      <w:numFmt w:val="decimal"/>
      <w:lvlText w:val=""/>
      <w:lvlJc w:val="left"/>
    </w:lvl>
    <w:lvl w:ilvl="8" w:tplc="1C8A64C6">
      <w:numFmt w:val="decimal"/>
      <w:lvlText w:val=""/>
      <w:lvlJc w:val="left"/>
    </w:lvl>
  </w:abstractNum>
  <w:abstractNum w:abstractNumId="2" w15:restartNumberingAfterBreak="0">
    <w:nsid w:val="5A1F16E0"/>
    <w:multiLevelType w:val="hybridMultilevel"/>
    <w:tmpl w:val="14F6786A"/>
    <w:lvl w:ilvl="0" w:tplc="E35A8F5E">
      <w:start w:val="1"/>
      <w:numFmt w:val="bullet"/>
      <w:lvlText w:val="●"/>
      <w:lvlJc w:val="left"/>
      <w:pPr>
        <w:ind w:left="720" w:hanging="360"/>
      </w:pPr>
    </w:lvl>
    <w:lvl w:ilvl="1" w:tplc="B16C25CA">
      <w:start w:val="1"/>
      <w:numFmt w:val="bullet"/>
      <w:lvlText w:val="○"/>
      <w:lvlJc w:val="left"/>
      <w:pPr>
        <w:ind w:left="1440" w:hanging="360"/>
      </w:pPr>
    </w:lvl>
    <w:lvl w:ilvl="2" w:tplc="050ACDD2">
      <w:start w:val="1"/>
      <w:numFmt w:val="bullet"/>
      <w:lvlText w:val="■"/>
      <w:lvlJc w:val="left"/>
      <w:pPr>
        <w:ind w:left="2160" w:hanging="360"/>
      </w:pPr>
    </w:lvl>
    <w:lvl w:ilvl="3" w:tplc="71121BEC">
      <w:start w:val="1"/>
      <w:numFmt w:val="bullet"/>
      <w:lvlText w:val="●"/>
      <w:lvlJc w:val="left"/>
      <w:pPr>
        <w:ind w:left="2880" w:hanging="360"/>
      </w:pPr>
    </w:lvl>
    <w:lvl w:ilvl="4" w:tplc="87A2E0C8">
      <w:start w:val="1"/>
      <w:numFmt w:val="bullet"/>
      <w:lvlText w:val="○"/>
      <w:lvlJc w:val="left"/>
      <w:pPr>
        <w:ind w:left="3600" w:hanging="360"/>
      </w:pPr>
    </w:lvl>
    <w:lvl w:ilvl="5" w:tplc="05CA8F1A">
      <w:start w:val="1"/>
      <w:numFmt w:val="bullet"/>
      <w:lvlText w:val="■"/>
      <w:lvlJc w:val="left"/>
      <w:pPr>
        <w:ind w:left="4320" w:hanging="360"/>
      </w:pPr>
    </w:lvl>
    <w:lvl w:ilvl="6" w:tplc="595C70BE">
      <w:start w:val="1"/>
      <w:numFmt w:val="bullet"/>
      <w:lvlText w:val="●"/>
      <w:lvlJc w:val="left"/>
      <w:pPr>
        <w:ind w:left="5040" w:hanging="360"/>
      </w:pPr>
    </w:lvl>
    <w:lvl w:ilvl="7" w:tplc="8A38F3EE">
      <w:start w:val="1"/>
      <w:numFmt w:val="bullet"/>
      <w:lvlText w:val="●"/>
      <w:lvlJc w:val="left"/>
      <w:pPr>
        <w:ind w:left="5760" w:hanging="360"/>
      </w:pPr>
    </w:lvl>
    <w:lvl w:ilvl="8" w:tplc="89540636">
      <w:start w:val="1"/>
      <w:numFmt w:val="bullet"/>
      <w:lvlText w:val="●"/>
      <w:lvlJc w:val="left"/>
      <w:pPr>
        <w:ind w:left="6480" w:hanging="360"/>
      </w:pPr>
    </w:lvl>
  </w:abstractNum>
  <w:abstractNum w:abstractNumId="3" w15:restartNumberingAfterBreak="0">
    <w:nsid w:val="5E134A99"/>
    <w:multiLevelType w:val="hybridMultilevel"/>
    <w:tmpl w:val="4BD816C0"/>
    <w:lvl w:ilvl="0" w:tplc="572EF756">
      <w:start w:val="1"/>
      <w:numFmt w:val="bullet"/>
      <w:lvlText w:val="•"/>
      <w:lvlJc w:val="left"/>
      <w:pPr>
        <w:ind w:left="1440" w:hanging="360"/>
      </w:p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4" w15:restartNumberingAfterBreak="0">
    <w:nsid w:val="5FD95C21"/>
    <w:multiLevelType w:val="hybridMultilevel"/>
    <w:tmpl w:val="545CA552"/>
    <w:lvl w:ilvl="0" w:tplc="572EF756">
      <w:start w:val="1"/>
      <w:numFmt w:val="bullet"/>
      <w:lvlText w:val="•"/>
      <w:lvlJc w:val="left"/>
      <w:pPr>
        <w:ind w:left="720" w:hanging="360"/>
      </w:p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69EC463F"/>
    <w:multiLevelType w:val="hybridMultilevel"/>
    <w:tmpl w:val="2284AAD6"/>
    <w:lvl w:ilvl="0" w:tplc="5B0C727C">
      <w:start w:val="1"/>
      <w:numFmt w:val="decimal"/>
      <w:lvlText w:val="%1."/>
      <w:lvlJc w:val="left"/>
      <w:pPr>
        <w:ind w:left="720" w:hanging="360"/>
      </w:pPr>
    </w:lvl>
    <w:lvl w:ilvl="1" w:tplc="69B014CE">
      <w:numFmt w:val="decimal"/>
      <w:lvlText w:val=""/>
      <w:lvlJc w:val="left"/>
    </w:lvl>
    <w:lvl w:ilvl="2" w:tplc="6E08B1A2">
      <w:numFmt w:val="decimal"/>
      <w:lvlText w:val=""/>
      <w:lvlJc w:val="left"/>
    </w:lvl>
    <w:lvl w:ilvl="3" w:tplc="2EF84360">
      <w:numFmt w:val="decimal"/>
      <w:lvlText w:val=""/>
      <w:lvlJc w:val="left"/>
    </w:lvl>
    <w:lvl w:ilvl="4" w:tplc="3AEE2230">
      <w:numFmt w:val="decimal"/>
      <w:lvlText w:val=""/>
      <w:lvlJc w:val="left"/>
    </w:lvl>
    <w:lvl w:ilvl="5" w:tplc="EEFAACDE">
      <w:numFmt w:val="decimal"/>
      <w:lvlText w:val=""/>
      <w:lvlJc w:val="left"/>
    </w:lvl>
    <w:lvl w:ilvl="6" w:tplc="4CBE6A2A">
      <w:numFmt w:val="decimal"/>
      <w:lvlText w:val=""/>
      <w:lvlJc w:val="left"/>
    </w:lvl>
    <w:lvl w:ilvl="7" w:tplc="6D8AC7A2">
      <w:numFmt w:val="decimal"/>
      <w:lvlText w:val=""/>
      <w:lvlJc w:val="left"/>
    </w:lvl>
    <w:lvl w:ilvl="8" w:tplc="2300296C">
      <w:numFmt w:val="decimal"/>
      <w:lvlText w:val=""/>
      <w:lvlJc w:val="left"/>
    </w:lvl>
  </w:abstractNum>
  <w:abstractNum w:abstractNumId="6" w15:restartNumberingAfterBreak="0">
    <w:nsid w:val="6C7176F8"/>
    <w:multiLevelType w:val="hybridMultilevel"/>
    <w:tmpl w:val="A25663D6"/>
    <w:lvl w:ilvl="0" w:tplc="5DF86708">
      <w:start w:val="1"/>
      <w:numFmt w:val="lowerLetter"/>
      <w:lvlText w:val="%1."/>
      <w:lvlJc w:val="left"/>
      <w:pPr>
        <w:ind w:left="720" w:hanging="360"/>
      </w:pPr>
    </w:lvl>
    <w:lvl w:ilvl="1" w:tplc="1F4C2300">
      <w:numFmt w:val="decimal"/>
      <w:lvlText w:val=""/>
      <w:lvlJc w:val="left"/>
    </w:lvl>
    <w:lvl w:ilvl="2" w:tplc="12ACD25C">
      <w:numFmt w:val="decimal"/>
      <w:lvlText w:val=""/>
      <w:lvlJc w:val="left"/>
    </w:lvl>
    <w:lvl w:ilvl="3" w:tplc="A740B7B4">
      <w:numFmt w:val="decimal"/>
      <w:lvlText w:val=""/>
      <w:lvlJc w:val="left"/>
    </w:lvl>
    <w:lvl w:ilvl="4" w:tplc="E79E4C72">
      <w:numFmt w:val="decimal"/>
      <w:lvlText w:val=""/>
      <w:lvlJc w:val="left"/>
    </w:lvl>
    <w:lvl w:ilvl="5" w:tplc="1E8A0BD0">
      <w:numFmt w:val="decimal"/>
      <w:lvlText w:val=""/>
      <w:lvlJc w:val="left"/>
    </w:lvl>
    <w:lvl w:ilvl="6" w:tplc="96908388">
      <w:numFmt w:val="decimal"/>
      <w:lvlText w:val=""/>
      <w:lvlJc w:val="left"/>
    </w:lvl>
    <w:lvl w:ilvl="7" w:tplc="860E5652">
      <w:numFmt w:val="decimal"/>
      <w:lvlText w:val=""/>
      <w:lvlJc w:val="left"/>
    </w:lvl>
    <w:lvl w:ilvl="8" w:tplc="D910BD52">
      <w:numFmt w:val="decimal"/>
      <w:lvlText w:val=""/>
      <w:lvlJc w:val="left"/>
    </w:lvl>
  </w:abstractNum>
  <w:num w:numId="1" w16cid:durableId="1421679201">
    <w:abstractNumId w:val="2"/>
    <w:lvlOverride w:ilvl="0">
      <w:startOverride w:val="1"/>
    </w:lvlOverride>
  </w:num>
  <w:num w:numId="2" w16cid:durableId="458567856">
    <w:abstractNumId w:val="1"/>
    <w:lvlOverride w:ilvl="0">
      <w:startOverride w:val="1"/>
    </w:lvlOverride>
  </w:num>
  <w:num w:numId="3" w16cid:durableId="1063017601">
    <w:abstractNumId w:val="5"/>
    <w:lvlOverride w:ilvl="0">
      <w:startOverride w:val="1"/>
    </w:lvlOverride>
  </w:num>
  <w:num w:numId="4" w16cid:durableId="1362243734">
    <w:abstractNumId w:val="6"/>
    <w:lvlOverride w:ilvl="0">
      <w:startOverride w:val="1"/>
    </w:lvlOverride>
  </w:num>
  <w:num w:numId="5" w16cid:durableId="86122917">
    <w:abstractNumId w:val="3"/>
  </w:num>
  <w:num w:numId="6" w16cid:durableId="296378036">
    <w:abstractNumId w:val="4"/>
  </w:num>
  <w:num w:numId="7" w16cid:durableId="76434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3FA"/>
    <w:rsid w:val="00046524"/>
    <w:rsid w:val="00083536"/>
    <w:rsid w:val="000B7C1E"/>
    <w:rsid w:val="00102496"/>
    <w:rsid w:val="00151CD5"/>
    <w:rsid w:val="001D4352"/>
    <w:rsid w:val="00213043"/>
    <w:rsid w:val="00244C83"/>
    <w:rsid w:val="00285707"/>
    <w:rsid w:val="002D27E2"/>
    <w:rsid w:val="00306609"/>
    <w:rsid w:val="00356B23"/>
    <w:rsid w:val="003D0F2E"/>
    <w:rsid w:val="004059DB"/>
    <w:rsid w:val="004062D3"/>
    <w:rsid w:val="00465129"/>
    <w:rsid w:val="004D73BC"/>
    <w:rsid w:val="00531915"/>
    <w:rsid w:val="0056740D"/>
    <w:rsid w:val="006C24AA"/>
    <w:rsid w:val="006D61A5"/>
    <w:rsid w:val="006F396A"/>
    <w:rsid w:val="00786F00"/>
    <w:rsid w:val="007A6746"/>
    <w:rsid w:val="00862168"/>
    <w:rsid w:val="008913FA"/>
    <w:rsid w:val="008F5F9A"/>
    <w:rsid w:val="009A3FE0"/>
    <w:rsid w:val="00B456B9"/>
    <w:rsid w:val="00B81E6A"/>
    <w:rsid w:val="00DF1080"/>
    <w:rsid w:val="00E2467B"/>
    <w:rsid w:val="00E42278"/>
    <w:rsid w:val="00EB400D"/>
    <w:rsid w:val="00EB7FE2"/>
    <w:rsid w:val="00EF2063"/>
    <w:rsid w:val="00F43B67"/>
    <w:rsid w:val="00F61A79"/>
    <w:rsid w:val="00FE57D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6E7D"/>
  <w15:docId w15:val="{B7FD6489-5E8E-4206-BB8A-9DA067F9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uiPriority w:val="9"/>
    <w:qFormat/>
    <w:pPr>
      <w:spacing w:before="360" w:after="180"/>
      <w:outlineLvl w:val="0"/>
    </w:pPr>
    <w:rPr>
      <w:b/>
      <w:bCs/>
      <w:color w:val="1A5276"/>
      <w:sz w:val="28"/>
      <w:szCs w:val="28"/>
    </w:rPr>
  </w:style>
  <w:style w:type="paragraph" w:styleId="Titlu2">
    <w:name w:val="heading 2"/>
    <w:uiPriority w:val="9"/>
    <w:unhideWhenUsed/>
    <w:qFormat/>
    <w:pPr>
      <w:spacing w:before="240" w:after="120"/>
      <w:outlineLvl w:val="1"/>
    </w:pPr>
    <w:rPr>
      <w:b/>
      <w:bCs/>
      <w:color w:val="1F618D"/>
      <w:sz w:val="24"/>
      <w:szCs w:val="24"/>
    </w:rPr>
  </w:style>
  <w:style w:type="paragraph" w:styleId="Titlu3">
    <w:name w:val="heading 3"/>
    <w:uiPriority w:val="9"/>
    <w:semiHidden/>
    <w:unhideWhenUsed/>
    <w:qFormat/>
    <w:pPr>
      <w:outlineLvl w:val="2"/>
    </w:pPr>
    <w:rPr>
      <w:color w:val="1F4D78"/>
      <w:sz w:val="24"/>
      <w:szCs w:val="24"/>
    </w:rPr>
  </w:style>
  <w:style w:type="paragraph" w:styleId="Titlu4">
    <w:name w:val="heading 4"/>
    <w:uiPriority w:val="9"/>
    <w:semiHidden/>
    <w:unhideWhenUsed/>
    <w:qFormat/>
    <w:pPr>
      <w:outlineLvl w:val="3"/>
    </w:pPr>
    <w:rPr>
      <w:i/>
      <w:iCs/>
      <w:color w:val="2E74B5"/>
    </w:rPr>
  </w:style>
  <w:style w:type="paragraph" w:styleId="Titlu5">
    <w:name w:val="heading 5"/>
    <w:uiPriority w:val="9"/>
    <w:semiHidden/>
    <w:unhideWhenUsed/>
    <w:qFormat/>
    <w:pPr>
      <w:outlineLvl w:val="4"/>
    </w:pPr>
    <w:rPr>
      <w:color w:val="2E74B5"/>
    </w:rPr>
  </w:style>
  <w:style w:type="paragraph" w:styleId="Titlu6">
    <w:name w:val="heading 6"/>
    <w:uiPriority w:val="9"/>
    <w:semiHidden/>
    <w:unhideWhenUsed/>
    <w:qFormat/>
    <w:pPr>
      <w:outlineLvl w:val="5"/>
    </w:pPr>
    <w:rPr>
      <w:color w:val="1F4D7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uiPriority w:val="10"/>
    <w:qFormat/>
    <w:rPr>
      <w:sz w:val="56"/>
      <w:szCs w:val="56"/>
    </w:rPr>
  </w:style>
  <w:style w:type="paragraph" w:customStyle="1" w:styleId="Robust1">
    <w:name w:val="Robust1"/>
    <w:qFormat/>
    <w:rPr>
      <w:b/>
      <w:bCs/>
    </w:rPr>
  </w:style>
  <w:style w:type="paragraph" w:styleId="Listparagraf">
    <w:name w:val="List Paragraph"/>
    <w:qFormat/>
  </w:style>
  <w:style w:type="character" w:styleId="Hyperlink">
    <w:name w:val="Hyperlink"/>
    <w:uiPriority w:val="99"/>
    <w:unhideWhenUsed/>
    <w:rPr>
      <w:color w:val="0563C1"/>
      <w:u w:val="single"/>
    </w:rPr>
  </w:style>
  <w:style w:type="character" w:styleId="Referinnotdesubsol">
    <w:name w:val="footnote reference"/>
    <w:uiPriority w:val="99"/>
    <w:semiHidden/>
    <w:unhideWhenUsed/>
    <w:rPr>
      <w:vertAlign w:val="superscript"/>
    </w:rPr>
  </w:style>
  <w:style w:type="paragraph" w:styleId="Textnotdesubsol">
    <w:name w:val="footnote text"/>
    <w:link w:val="TextnotdesubsolCaracter"/>
    <w:uiPriority w:val="99"/>
    <w:semiHidden/>
    <w:unhideWhenUsed/>
    <w:rPr>
      <w:sz w:val="20"/>
      <w:szCs w:val="20"/>
    </w:rPr>
  </w:style>
  <w:style w:type="character" w:customStyle="1" w:styleId="TextnotdesubsolCaracter">
    <w:name w:val="Text notă de subsol Caracter"/>
    <w:link w:val="Textnotdesubsol"/>
    <w:uiPriority w:val="99"/>
    <w:semiHidden/>
    <w:unhideWhenUsed/>
    <w:rPr>
      <w:sz w:val="20"/>
      <w:szCs w:val="20"/>
    </w:rPr>
  </w:style>
  <w:style w:type="character" w:styleId="Referinnotdefinal">
    <w:name w:val="endnote reference"/>
    <w:uiPriority w:val="99"/>
    <w:semiHidden/>
    <w:unhideWhenUsed/>
    <w:rPr>
      <w:vertAlign w:val="superscript"/>
    </w:rPr>
  </w:style>
  <w:style w:type="paragraph" w:styleId="Textnotdefinal">
    <w:name w:val="endnote text"/>
    <w:link w:val="TextnotdefinalCaracter"/>
    <w:uiPriority w:val="99"/>
    <w:semiHidden/>
    <w:unhideWhenUsed/>
    <w:rPr>
      <w:sz w:val="20"/>
      <w:szCs w:val="20"/>
    </w:rPr>
  </w:style>
  <w:style w:type="character" w:customStyle="1" w:styleId="TextnotdefinalCaracter">
    <w:name w:val="Text notă de final Caracter"/>
    <w:link w:val="Textnotde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9</Pages>
  <Words>3191</Words>
  <Characters>18508</Characters>
  <Application>Microsoft Office Word</Application>
  <DocSecurity>0</DocSecurity>
  <Lines>154</Lines>
  <Paragraphs>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Sîrbu Simion</cp:lastModifiedBy>
  <cp:revision>21</cp:revision>
  <dcterms:created xsi:type="dcterms:W3CDTF">2026-04-16T13:54:00Z</dcterms:created>
  <dcterms:modified xsi:type="dcterms:W3CDTF">2026-04-21T12:32:00Z</dcterms:modified>
</cp:coreProperties>
</file>